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DE1E" w14:textId="68C42D25" w:rsidR="0081034E" w:rsidRPr="007F28E2" w:rsidRDefault="0081034E" w:rsidP="0081034E">
      <w:pPr>
        <w:pBdr>
          <w:top w:val="single" w:sz="4" w:space="10" w:color="0F4761" w:themeColor="accent1" w:themeShade="BF"/>
          <w:bottom w:val="single" w:sz="4" w:space="10" w:color="0F4761" w:themeColor="accent1" w:themeShade="BF"/>
        </w:pBdr>
        <w:spacing w:before="360" w:after="360" w:line="240" w:lineRule="auto"/>
        <w:ind w:left="864" w:right="864"/>
        <w:jc w:val="center"/>
        <w:rPr>
          <w:rFonts w:cs="Aptos"/>
          <w:b/>
          <w:bCs/>
          <w:color w:val="501549" w:themeColor="accent5" w:themeShade="80"/>
          <w:kern w:val="0"/>
          <w:sz w:val="32"/>
          <w:szCs w:val="32"/>
          <w:lang w:eastAsia="fr-BE"/>
        </w:rPr>
      </w:pPr>
      <w:bookmarkStart w:id="0" w:name="_Hlk200973533"/>
      <w:r w:rsidRPr="007F28E2">
        <w:rPr>
          <w:rFonts w:cs="Aptos"/>
          <w:b/>
          <w:bCs/>
          <w:color w:val="501549" w:themeColor="accent5" w:themeShade="80"/>
          <w:kern w:val="0"/>
          <w:sz w:val="32"/>
          <w:szCs w:val="32"/>
          <w:lang w:eastAsia="fr-BE"/>
        </w:rPr>
        <w:t>Réunion plénière ASAH-BXL 3 novembre 2025</w:t>
      </w:r>
    </w:p>
    <w:tbl>
      <w:tblPr>
        <w:tblW w:w="106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709"/>
        <w:gridCol w:w="2268"/>
        <w:gridCol w:w="2551"/>
        <w:gridCol w:w="679"/>
      </w:tblGrid>
      <w:tr w:rsidR="0081034E" w:rsidRPr="007F28E2" w14:paraId="498BBC0C" w14:textId="77777777" w:rsidTr="00F82873">
        <w:trPr>
          <w:trHeight w:val="349"/>
        </w:trPr>
        <w:tc>
          <w:tcPr>
            <w:tcW w:w="1985" w:type="dxa"/>
            <w:tcBorders>
              <w:top w:val="single" w:sz="4" w:space="0" w:color="auto"/>
              <w:left w:val="single" w:sz="4" w:space="0" w:color="auto"/>
              <w:bottom w:val="single" w:sz="4" w:space="0" w:color="auto"/>
              <w:right w:val="single" w:sz="4" w:space="0" w:color="auto"/>
            </w:tcBorders>
            <w:hideMark/>
          </w:tcPr>
          <w:p w14:paraId="5FCF1F68" w14:textId="77777777" w:rsidR="0081034E" w:rsidRPr="007F28E2" w:rsidRDefault="0081034E" w:rsidP="000E495A">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Service</w:t>
            </w:r>
          </w:p>
        </w:tc>
        <w:tc>
          <w:tcPr>
            <w:tcW w:w="2410" w:type="dxa"/>
            <w:tcBorders>
              <w:top w:val="single" w:sz="4" w:space="0" w:color="auto"/>
              <w:left w:val="single" w:sz="4" w:space="0" w:color="auto"/>
              <w:bottom w:val="single" w:sz="4" w:space="0" w:color="auto"/>
              <w:right w:val="single" w:sz="4" w:space="0" w:color="auto"/>
            </w:tcBorders>
            <w:hideMark/>
          </w:tcPr>
          <w:p w14:paraId="27F4B1F3" w14:textId="77777777" w:rsidR="0081034E" w:rsidRPr="007F28E2" w:rsidRDefault="0081034E" w:rsidP="000E495A">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Nom -</w:t>
            </w:r>
          </w:p>
        </w:tc>
        <w:tc>
          <w:tcPr>
            <w:tcW w:w="709" w:type="dxa"/>
            <w:tcBorders>
              <w:top w:val="single" w:sz="4" w:space="0" w:color="auto"/>
              <w:left w:val="single" w:sz="4" w:space="0" w:color="auto"/>
              <w:bottom w:val="single" w:sz="4" w:space="0" w:color="auto"/>
              <w:right w:val="single" w:sz="4" w:space="0" w:color="auto"/>
            </w:tcBorders>
            <w:hideMark/>
          </w:tcPr>
          <w:p w14:paraId="715B7098" w14:textId="77777777" w:rsidR="0081034E" w:rsidRPr="007F28E2" w:rsidRDefault="0081034E" w:rsidP="000E495A">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P/E</w:t>
            </w:r>
          </w:p>
        </w:tc>
        <w:tc>
          <w:tcPr>
            <w:tcW w:w="2268" w:type="dxa"/>
            <w:tcBorders>
              <w:top w:val="single" w:sz="4" w:space="0" w:color="auto"/>
              <w:left w:val="single" w:sz="4" w:space="0" w:color="auto"/>
              <w:bottom w:val="single" w:sz="4" w:space="0" w:color="auto"/>
              <w:right w:val="single" w:sz="4" w:space="0" w:color="auto"/>
            </w:tcBorders>
            <w:hideMark/>
          </w:tcPr>
          <w:p w14:paraId="5BFB75B2" w14:textId="77777777" w:rsidR="0081034E" w:rsidRPr="007F28E2" w:rsidRDefault="0081034E" w:rsidP="000E495A">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Service</w:t>
            </w:r>
          </w:p>
        </w:tc>
        <w:tc>
          <w:tcPr>
            <w:tcW w:w="2551" w:type="dxa"/>
            <w:tcBorders>
              <w:top w:val="single" w:sz="4" w:space="0" w:color="auto"/>
              <w:left w:val="single" w:sz="4" w:space="0" w:color="auto"/>
              <w:bottom w:val="single" w:sz="4" w:space="0" w:color="auto"/>
              <w:right w:val="single" w:sz="4" w:space="0" w:color="auto"/>
            </w:tcBorders>
            <w:hideMark/>
          </w:tcPr>
          <w:p w14:paraId="58DF1EE1" w14:textId="77777777" w:rsidR="0081034E" w:rsidRPr="007F28E2" w:rsidRDefault="0081034E" w:rsidP="000E495A">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Nom</w:t>
            </w:r>
          </w:p>
        </w:tc>
        <w:tc>
          <w:tcPr>
            <w:tcW w:w="679" w:type="dxa"/>
            <w:tcBorders>
              <w:top w:val="single" w:sz="4" w:space="0" w:color="auto"/>
              <w:left w:val="single" w:sz="4" w:space="0" w:color="auto"/>
              <w:bottom w:val="single" w:sz="4" w:space="0" w:color="auto"/>
              <w:right w:val="single" w:sz="4" w:space="0" w:color="auto"/>
            </w:tcBorders>
            <w:hideMark/>
          </w:tcPr>
          <w:p w14:paraId="02B08931" w14:textId="77777777" w:rsidR="0081034E" w:rsidRPr="007F28E2" w:rsidRDefault="0081034E" w:rsidP="000E495A">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P/E</w:t>
            </w:r>
          </w:p>
        </w:tc>
      </w:tr>
      <w:tr w:rsidR="0081034E" w:rsidRPr="007F28E2" w14:paraId="324812BC"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10B9E863"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w:t>
            </w:r>
            <w:r w:rsidRPr="007F28E2">
              <w:rPr>
                <w:rFonts w:eastAsia="Times New Roman" w:cs="Calibri"/>
                <w:b/>
                <w:bCs/>
                <w:sz w:val="22"/>
                <w:szCs w:val="22"/>
                <w:lang w:val="fr-FR" w:eastAsia="fr-FR"/>
              </w:rPr>
              <w:t>Bataclan</w:t>
            </w:r>
          </w:p>
        </w:tc>
        <w:tc>
          <w:tcPr>
            <w:tcW w:w="2410" w:type="dxa"/>
            <w:tcBorders>
              <w:top w:val="single" w:sz="4" w:space="0" w:color="auto"/>
              <w:left w:val="single" w:sz="4" w:space="0" w:color="auto"/>
              <w:bottom w:val="single" w:sz="4" w:space="0" w:color="auto"/>
              <w:right w:val="single" w:sz="4" w:space="0" w:color="auto"/>
            </w:tcBorders>
            <w:hideMark/>
          </w:tcPr>
          <w:p w14:paraId="4714E825"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Anne-France Peyskens</w:t>
            </w:r>
          </w:p>
        </w:tc>
        <w:tc>
          <w:tcPr>
            <w:tcW w:w="709" w:type="dxa"/>
            <w:tcBorders>
              <w:top w:val="single" w:sz="4" w:space="0" w:color="auto"/>
              <w:left w:val="single" w:sz="4" w:space="0" w:color="auto"/>
              <w:bottom w:val="single" w:sz="4" w:space="0" w:color="auto"/>
              <w:right w:val="single" w:sz="4" w:space="0" w:color="auto"/>
            </w:tcBorders>
            <w:hideMark/>
          </w:tcPr>
          <w:p w14:paraId="081AA68A" w14:textId="68E140E0"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0173C079"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2.</w:t>
            </w:r>
            <w:r w:rsidRPr="007F28E2">
              <w:rPr>
                <w:rFonts w:eastAsia="Times New Roman" w:cs="Calibri"/>
                <w:b/>
                <w:bCs/>
                <w:sz w:val="22"/>
                <w:szCs w:val="22"/>
                <w:lang w:val="fr-FR" w:eastAsia="fr-FR"/>
              </w:rPr>
              <w:t>Sapham</w:t>
            </w:r>
          </w:p>
        </w:tc>
        <w:tc>
          <w:tcPr>
            <w:tcW w:w="2551" w:type="dxa"/>
            <w:tcBorders>
              <w:top w:val="single" w:sz="4" w:space="0" w:color="auto"/>
              <w:left w:val="single" w:sz="4" w:space="0" w:color="auto"/>
              <w:bottom w:val="single" w:sz="4" w:space="0" w:color="auto"/>
              <w:right w:val="single" w:sz="4" w:space="0" w:color="auto"/>
            </w:tcBorders>
            <w:hideMark/>
          </w:tcPr>
          <w:p w14:paraId="50AB883F"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Pascale Carrier </w:t>
            </w:r>
          </w:p>
        </w:tc>
        <w:tc>
          <w:tcPr>
            <w:tcW w:w="679" w:type="dxa"/>
            <w:tcBorders>
              <w:top w:val="single" w:sz="4" w:space="0" w:color="auto"/>
              <w:left w:val="single" w:sz="4" w:space="0" w:color="auto"/>
              <w:bottom w:val="single" w:sz="4" w:space="0" w:color="auto"/>
              <w:right w:val="single" w:sz="4" w:space="0" w:color="auto"/>
            </w:tcBorders>
            <w:hideMark/>
          </w:tcPr>
          <w:p w14:paraId="5F96ABC2" w14:textId="087022D4"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r>
      <w:tr w:rsidR="0081034E" w:rsidRPr="007F28E2" w14:paraId="5F9EC5A6"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1203874C"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3.</w:t>
            </w:r>
            <w:r w:rsidRPr="007F28E2">
              <w:rPr>
                <w:rFonts w:eastAsia="Times New Roman" w:cs="Calibri"/>
                <w:b/>
                <w:bCs/>
                <w:sz w:val="22"/>
                <w:szCs w:val="22"/>
                <w:lang w:val="fr-FR" w:eastAsia="fr-FR"/>
              </w:rPr>
              <w:t>Famisol</w:t>
            </w:r>
          </w:p>
        </w:tc>
        <w:tc>
          <w:tcPr>
            <w:tcW w:w="2410" w:type="dxa"/>
            <w:tcBorders>
              <w:top w:val="single" w:sz="4" w:space="0" w:color="auto"/>
              <w:left w:val="single" w:sz="4" w:space="0" w:color="auto"/>
              <w:bottom w:val="single" w:sz="4" w:space="0" w:color="auto"/>
              <w:right w:val="single" w:sz="4" w:space="0" w:color="auto"/>
            </w:tcBorders>
            <w:hideMark/>
          </w:tcPr>
          <w:p w14:paraId="2C6A2FA6"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Cécile Walot</w:t>
            </w:r>
          </w:p>
        </w:tc>
        <w:tc>
          <w:tcPr>
            <w:tcW w:w="709" w:type="dxa"/>
            <w:tcBorders>
              <w:top w:val="single" w:sz="4" w:space="0" w:color="auto"/>
              <w:left w:val="single" w:sz="4" w:space="0" w:color="auto"/>
              <w:bottom w:val="single" w:sz="4" w:space="0" w:color="auto"/>
              <w:right w:val="single" w:sz="4" w:space="0" w:color="auto"/>
            </w:tcBorders>
            <w:hideMark/>
          </w:tcPr>
          <w:p w14:paraId="00B2C043" w14:textId="7044BEA7"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64866C5B"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4.</w:t>
            </w:r>
            <w:r w:rsidRPr="007F28E2">
              <w:rPr>
                <w:rFonts w:eastAsia="Times New Roman" w:cs="Calibri"/>
                <w:b/>
                <w:bCs/>
                <w:sz w:val="22"/>
                <w:szCs w:val="22"/>
                <w:lang w:val="fr-FR" w:eastAsia="fr-FR"/>
              </w:rPr>
              <w:t>Sisahm</w:t>
            </w:r>
          </w:p>
        </w:tc>
        <w:tc>
          <w:tcPr>
            <w:tcW w:w="2551" w:type="dxa"/>
            <w:tcBorders>
              <w:top w:val="single" w:sz="4" w:space="0" w:color="auto"/>
              <w:left w:val="single" w:sz="4" w:space="0" w:color="auto"/>
              <w:bottom w:val="single" w:sz="4" w:space="0" w:color="auto"/>
              <w:right w:val="single" w:sz="4" w:space="0" w:color="auto"/>
            </w:tcBorders>
            <w:hideMark/>
          </w:tcPr>
          <w:p w14:paraId="13F7CABC" w14:textId="77777777" w:rsidR="0081034E" w:rsidRPr="007F28E2" w:rsidRDefault="0081034E" w:rsidP="000E495A">
            <w:pPr>
              <w:spacing w:after="0" w:line="276" w:lineRule="auto"/>
              <w:rPr>
                <w:rFonts w:eastAsia="Times New Roman" w:cs="Calibri"/>
                <w:sz w:val="22"/>
                <w:szCs w:val="22"/>
                <w:lang w:val="fr-FR" w:eastAsia="fr-FR"/>
              </w:rPr>
            </w:pPr>
            <w:r w:rsidRPr="007F28E2">
              <w:rPr>
                <w:rFonts w:cs="Calibri"/>
                <w:sz w:val="22"/>
                <w:szCs w:val="22"/>
                <w:lang w:val="fr-FR"/>
              </w:rPr>
              <w:t>Lecocq Katia</w:t>
            </w:r>
          </w:p>
        </w:tc>
        <w:tc>
          <w:tcPr>
            <w:tcW w:w="679" w:type="dxa"/>
            <w:tcBorders>
              <w:top w:val="single" w:sz="4" w:space="0" w:color="auto"/>
              <w:left w:val="single" w:sz="4" w:space="0" w:color="auto"/>
              <w:bottom w:val="single" w:sz="4" w:space="0" w:color="auto"/>
              <w:right w:val="single" w:sz="4" w:space="0" w:color="auto"/>
            </w:tcBorders>
            <w:hideMark/>
          </w:tcPr>
          <w:p w14:paraId="24294DEA" w14:textId="25405E7C"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81034E" w:rsidRPr="007F28E2" w14:paraId="3E1E7D11"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6911619F"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5.</w:t>
            </w:r>
            <w:r w:rsidRPr="007F28E2">
              <w:rPr>
                <w:rFonts w:eastAsia="Times New Roman" w:cs="Calibri"/>
                <w:b/>
                <w:bCs/>
                <w:sz w:val="22"/>
                <w:szCs w:val="22"/>
                <w:lang w:val="fr-FR" w:eastAsia="fr-FR"/>
              </w:rPr>
              <w:t>Push</w:t>
            </w:r>
          </w:p>
        </w:tc>
        <w:tc>
          <w:tcPr>
            <w:tcW w:w="2410" w:type="dxa"/>
            <w:tcBorders>
              <w:top w:val="single" w:sz="4" w:space="0" w:color="auto"/>
              <w:left w:val="single" w:sz="4" w:space="0" w:color="auto"/>
              <w:bottom w:val="single" w:sz="4" w:space="0" w:color="auto"/>
              <w:right w:val="single" w:sz="4" w:space="0" w:color="auto"/>
            </w:tcBorders>
            <w:hideMark/>
          </w:tcPr>
          <w:p w14:paraId="5ADAF550" w14:textId="69A5FF72"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Sylvain Gigna</w:t>
            </w:r>
          </w:p>
        </w:tc>
        <w:tc>
          <w:tcPr>
            <w:tcW w:w="709" w:type="dxa"/>
            <w:tcBorders>
              <w:top w:val="single" w:sz="4" w:space="0" w:color="auto"/>
              <w:left w:val="single" w:sz="4" w:space="0" w:color="auto"/>
              <w:bottom w:val="single" w:sz="4" w:space="0" w:color="auto"/>
              <w:right w:val="single" w:sz="4" w:space="0" w:color="auto"/>
            </w:tcBorders>
            <w:hideMark/>
          </w:tcPr>
          <w:p w14:paraId="1D01F520" w14:textId="2045982D"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6F259826"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6.</w:t>
            </w:r>
            <w:r w:rsidRPr="007F28E2">
              <w:rPr>
                <w:rFonts w:eastAsia="Times New Roman" w:cs="Calibri"/>
                <w:b/>
                <w:bCs/>
                <w:sz w:val="22"/>
                <w:szCs w:val="22"/>
                <w:lang w:val="fr-FR" w:eastAsia="fr-FR"/>
              </w:rPr>
              <w:t>Susa-Bruxelles</w:t>
            </w:r>
          </w:p>
        </w:tc>
        <w:tc>
          <w:tcPr>
            <w:tcW w:w="2551" w:type="dxa"/>
            <w:tcBorders>
              <w:top w:val="single" w:sz="4" w:space="0" w:color="auto"/>
              <w:left w:val="single" w:sz="4" w:space="0" w:color="auto"/>
              <w:bottom w:val="single" w:sz="4" w:space="0" w:color="auto"/>
              <w:right w:val="single" w:sz="4" w:space="0" w:color="auto"/>
            </w:tcBorders>
            <w:hideMark/>
          </w:tcPr>
          <w:p w14:paraId="104AED9B"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Christelle Ninforge </w:t>
            </w:r>
          </w:p>
        </w:tc>
        <w:tc>
          <w:tcPr>
            <w:tcW w:w="679" w:type="dxa"/>
            <w:tcBorders>
              <w:top w:val="single" w:sz="4" w:space="0" w:color="auto"/>
              <w:left w:val="single" w:sz="4" w:space="0" w:color="auto"/>
              <w:bottom w:val="single" w:sz="4" w:space="0" w:color="auto"/>
              <w:right w:val="single" w:sz="4" w:space="0" w:color="auto"/>
            </w:tcBorders>
            <w:hideMark/>
          </w:tcPr>
          <w:p w14:paraId="258A1A45"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P</w:t>
            </w:r>
          </w:p>
        </w:tc>
      </w:tr>
      <w:tr w:rsidR="0081034E" w:rsidRPr="007F28E2" w14:paraId="70CD0444"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32B0D144"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7.</w:t>
            </w:r>
            <w:r w:rsidRPr="007F28E2">
              <w:rPr>
                <w:rFonts w:eastAsia="Times New Roman" w:cs="Calibri"/>
                <w:b/>
                <w:bCs/>
                <w:sz w:val="22"/>
                <w:szCs w:val="22"/>
                <w:lang w:val="fr-FR" w:eastAsia="fr-FR"/>
              </w:rPr>
              <w:t>La Braise</w:t>
            </w:r>
          </w:p>
        </w:tc>
        <w:tc>
          <w:tcPr>
            <w:tcW w:w="2410" w:type="dxa"/>
            <w:tcBorders>
              <w:top w:val="single" w:sz="4" w:space="0" w:color="auto"/>
              <w:left w:val="single" w:sz="4" w:space="0" w:color="auto"/>
              <w:bottom w:val="single" w:sz="4" w:space="0" w:color="auto"/>
              <w:right w:val="single" w:sz="4" w:space="0" w:color="auto"/>
            </w:tcBorders>
            <w:hideMark/>
          </w:tcPr>
          <w:p w14:paraId="4458DA3F"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Sophie Cockaerts</w:t>
            </w:r>
          </w:p>
        </w:tc>
        <w:tc>
          <w:tcPr>
            <w:tcW w:w="709" w:type="dxa"/>
            <w:tcBorders>
              <w:top w:val="single" w:sz="4" w:space="0" w:color="auto"/>
              <w:left w:val="single" w:sz="4" w:space="0" w:color="auto"/>
              <w:bottom w:val="single" w:sz="4" w:space="0" w:color="auto"/>
              <w:right w:val="single" w:sz="4" w:space="0" w:color="auto"/>
            </w:tcBorders>
            <w:hideMark/>
          </w:tcPr>
          <w:p w14:paraId="1FB973BD" w14:textId="6DEB9EE3"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2899CCC3"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8.</w:t>
            </w:r>
            <w:r w:rsidRPr="007F28E2">
              <w:rPr>
                <w:rFonts w:eastAsia="Times New Roman" w:cs="Calibri"/>
                <w:b/>
                <w:bCs/>
                <w:sz w:val="22"/>
                <w:szCs w:val="22"/>
                <w:lang w:val="fr-FR" w:eastAsia="fr-FR"/>
              </w:rPr>
              <w:t>Cap Idéal</w:t>
            </w:r>
          </w:p>
        </w:tc>
        <w:tc>
          <w:tcPr>
            <w:tcW w:w="2551" w:type="dxa"/>
            <w:tcBorders>
              <w:top w:val="single" w:sz="4" w:space="0" w:color="auto"/>
              <w:left w:val="single" w:sz="4" w:space="0" w:color="auto"/>
              <w:bottom w:val="single" w:sz="4" w:space="0" w:color="auto"/>
              <w:right w:val="single" w:sz="4" w:space="0" w:color="auto"/>
            </w:tcBorders>
            <w:hideMark/>
          </w:tcPr>
          <w:p w14:paraId="2F512A09"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Elodie Cattoor</w:t>
            </w:r>
          </w:p>
        </w:tc>
        <w:tc>
          <w:tcPr>
            <w:tcW w:w="679" w:type="dxa"/>
            <w:tcBorders>
              <w:top w:val="single" w:sz="4" w:space="0" w:color="auto"/>
              <w:left w:val="single" w:sz="4" w:space="0" w:color="auto"/>
              <w:bottom w:val="single" w:sz="4" w:space="0" w:color="auto"/>
              <w:right w:val="single" w:sz="4" w:space="0" w:color="auto"/>
            </w:tcBorders>
            <w:hideMark/>
          </w:tcPr>
          <w:p w14:paraId="57C662E6" w14:textId="74A80C45"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81034E" w:rsidRPr="007F28E2" w14:paraId="20046FFA"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0429A86E"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9.</w:t>
            </w:r>
            <w:r w:rsidRPr="007F28E2">
              <w:rPr>
                <w:rFonts w:eastAsia="Times New Roman" w:cs="Calibri"/>
                <w:b/>
                <w:bCs/>
                <w:sz w:val="22"/>
                <w:szCs w:val="22"/>
                <w:lang w:val="fr-FR" w:eastAsia="fr-FR"/>
              </w:rPr>
              <w:t>Les Pilifs</w:t>
            </w:r>
          </w:p>
        </w:tc>
        <w:tc>
          <w:tcPr>
            <w:tcW w:w="2410" w:type="dxa"/>
            <w:tcBorders>
              <w:top w:val="single" w:sz="4" w:space="0" w:color="auto"/>
              <w:left w:val="single" w:sz="4" w:space="0" w:color="auto"/>
              <w:bottom w:val="single" w:sz="4" w:space="0" w:color="auto"/>
              <w:right w:val="single" w:sz="4" w:space="0" w:color="auto"/>
            </w:tcBorders>
            <w:hideMark/>
          </w:tcPr>
          <w:p w14:paraId="4D2F4406"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Frédéric Verhagen</w:t>
            </w:r>
          </w:p>
        </w:tc>
        <w:tc>
          <w:tcPr>
            <w:tcW w:w="709" w:type="dxa"/>
            <w:tcBorders>
              <w:top w:val="single" w:sz="4" w:space="0" w:color="auto"/>
              <w:left w:val="single" w:sz="4" w:space="0" w:color="auto"/>
              <w:bottom w:val="single" w:sz="4" w:space="0" w:color="auto"/>
              <w:right w:val="single" w:sz="4" w:space="0" w:color="auto"/>
            </w:tcBorders>
            <w:hideMark/>
          </w:tcPr>
          <w:p w14:paraId="29517FA2" w14:textId="36D62134"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369A4172"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10.</w:t>
            </w:r>
            <w:r w:rsidRPr="007F28E2">
              <w:rPr>
                <w:rFonts w:eastAsia="Times New Roman" w:cs="Calibri"/>
                <w:b/>
                <w:bCs/>
                <w:sz w:val="22"/>
                <w:szCs w:val="22"/>
                <w:lang w:val="fr-FR" w:eastAsia="fr-FR"/>
              </w:rPr>
              <w:t>Triangle Bxl</w:t>
            </w:r>
          </w:p>
        </w:tc>
        <w:tc>
          <w:tcPr>
            <w:tcW w:w="2551" w:type="dxa"/>
            <w:tcBorders>
              <w:top w:val="single" w:sz="4" w:space="0" w:color="auto"/>
              <w:left w:val="single" w:sz="4" w:space="0" w:color="auto"/>
              <w:bottom w:val="single" w:sz="4" w:space="0" w:color="auto"/>
              <w:right w:val="single" w:sz="4" w:space="0" w:color="auto"/>
            </w:tcBorders>
            <w:hideMark/>
          </w:tcPr>
          <w:p w14:paraId="56CD72DA"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Marina Bacro</w:t>
            </w:r>
          </w:p>
        </w:tc>
        <w:tc>
          <w:tcPr>
            <w:tcW w:w="679" w:type="dxa"/>
            <w:tcBorders>
              <w:top w:val="single" w:sz="4" w:space="0" w:color="auto"/>
              <w:left w:val="single" w:sz="4" w:space="0" w:color="auto"/>
              <w:bottom w:val="single" w:sz="4" w:space="0" w:color="auto"/>
              <w:right w:val="single" w:sz="4" w:space="0" w:color="auto"/>
            </w:tcBorders>
            <w:hideMark/>
          </w:tcPr>
          <w:p w14:paraId="22BBF721"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E</w:t>
            </w:r>
          </w:p>
        </w:tc>
      </w:tr>
      <w:tr w:rsidR="0081034E" w:rsidRPr="007F28E2" w14:paraId="503DA340"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65488C21"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11.</w:t>
            </w:r>
            <w:r w:rsidRPr="007F28E2">
              <w:rPr>
                <w:rFonts w:eastAsia="Times New Roman" w:cs="Calibri"/>
                <w:b/>
                <w:bCs/>
                <w:sz w:val="22"/>
                <w:szCs w:val="22"/>
                <w:lang w:val="fr-FR" w:eastAsia="fr-FR"/>
              </w:rPr>
              <w:t>La Vague</w:t>
            </w:r>
          </w:p>
        </w:tc>
        <w:tc>
          <w:tcPr>
            <w:tcW w:w="2410" w:type="dxa"/>
            <w:tcBorders>
              <w:top w:val="single" w:sz="4" w:space="0" w:color="auto"/>
              <w:left w:val="single" w:sz="4" w:space="0" w:color="auto"/>
              <w:bottom w:val="single" w:sz="4" w:space="0" w:color="auto"/>
              <w:right w:val="single" w:sz="4" w:space="0" w:color="auto"/>
            </w:tcBorders>
            <w:hideMark/>
          </w:tcPr>
          <w:p w14:paraId="2B34C4AD"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Béatrice David </w:t>
            </w:r>
          </w:p>
        </w:tc>
        <w:tc>
          <w:tcPr>
            <w:tcW w:w="709" w:type="dxa"/>
            <w:tcBorders>
              <w:top w:val="single" w:sz="4" w:space="0" w:color="auto"/>
              <w:left w:val="single" w:sz="4" w:space="0" w:color="auto"/>
              <w:bottom w:val="single" w:sz="4" w:space="0" w:color="auto"/>
              <w:right w:val="single" w:sz="4" w:space="0" w:color="auto"/>
            </w:tcBorders>
            <w:hideMark/>
          </w:tcPr>
          <w:p w14:paraId="2269EFE6" w14:textId="18530621"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5525163B"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12.</w:t>
            </w:r>
            <w:r w:rsidRPr="007F28E2">
              <w:rPr>
                <w:rFonts w:eastAsia="Times New Roman" w:cs="Calibri"/>
                <w:b/>
                <w:bCs/>
                <w:sz w:val="22"/>
                <w:szCs w:val="22"/>
                <w:lang w:val="fr-FR" w:eastAsia="fr-FR"/>
              </w:rPr>
              <w:t>Saphir Bxl</w:t>
            </w:r>
          </w:p>
        </w:tc>
        <w:tc>
          <w:tcPr>
            <w:tcW w:w="2551" w:type="dxa"/>
            <w:tcBorders>
              <w:top w:val="single" w:sz="4" w:space="0" w:color="auto"/>
              <w:left w:val="single" w:sz="4" w:space="0" w:color="auto"/>
              <w:bottom w:val="single" w:sz="4" w:space="0" w:color="auto"/>
              <w:right w:val="single" w:sz="4" w:space="0" w:color="auto"/>
            </w:tcBorders>
            <w:hideMark/>
          </w:tcPr>
          <w:p w14:paraId="0AD2C0CF"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Isabelle de Ranter</w:t>
            </w:r>
          </w:p>
        </w:tc>
        <w:tc>
          <w:tcPr>
            <w:tcW w:w="679" w:type="dxa"/>
            <w:tcBorders>
              <w:top w:val="single" w:sz="4" w:space="0" w:color="auto"/>
              <w:left w:val="single" w:sz="4" w:space="0" w:color="auto"/>
              <w:bottom w:val="single" w:sz="4" w:space="0" w:color="auto"/>
              <w:right w:val="single" w:sz="4" w:space="0" w:color="auto"/>
            </w:tcBorders>
            <w:hideMark/>
          </w:tcPr>
          <w:p w14:paraId="523B83D7"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P</w:t>
            </w:r>
          </w:p>
        </w:tc>
      </w:tr>
      <w:tr w:rsidR="0081034E" w:rsidRPr="007F28E2" w14:paraId="687A6119"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67ACA76A"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13.</w:t>
            </w:r>
            <w:r w:rsidRPr="007F28E2">
              <w:rPr>
                <w:rFonts w:eastAsia="Times New Roman" w:cs="Calibri"/>
                <w:b/>
                <w:bCs/>
                <w:sz w:val="22"/>
                <w:szCs w:val="22"/>
                <w:lang w:val="fr-FR" w:eastAsia="fr-FR"/>
              </w:rPr>
              <w:t>L'Escale</w:t>
            </w:r>
          </w:p>
        </w:tc>
        <w:tc>
          <w:tcPr>
            <w:tcW w:w="2410" w:type="dxa"/>
            <w:tcBorders>
              <w:top w:val="single" w:sz="4" w:space="0" w:color="auto"/>
              <w:left w:val="single" w:sz="4" w:space="0" w:color="auto"/>
              <w:bottom w:val="single" w:sz="4" w:space="0" w:color="auto"/>
              <w:right w:val="single" w:sz="4" w:space="0" w:color="auto"/>
            </w:tcBorders>
            <w:hideMark/>
          </w:tcPr>
          <w:p w14:paraId="659F6D30"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Muriel Brunneval </w:t>
            </w:r>
          </w:p>
        </w:tc>
        <w:tc>
          <w:tcPr>
            <w:tcW w:w="709" w:type="dxa"/>
            <w:tcBorders>
              <w:top w:val="single" w:sz="4" w:space="0" w:color="auto"/>
              <w:left w:val="single" w:sz="4" w:space="0" w:color="auto"/>
              <w:bottom w:val="single" w:sz="4" w:space="0" w:color="auto"/>
              <w:right w:val="single" w:sz="4" w:space="0" w:color="auto"/>
            </w:tcBorders>
            <w:hideMark/>
          </w:tcPr>
          <w:p w14:paraId="302CC8EB" w14:textId="441EE466"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4124AA3A"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14.</w:t>
            </w:r>
            <w:r w:rsidRPr="007F28E2">
              <w:rPr>
                <w:rFonts w:eastAsia="Times New Roman" w:cs="Calibri"/>
                <w:b/>
                <w:bCs/>
                <w:sz w:val="22"/>
                <w:szCs w:val="22"/>
                <w:lang w:val="fr-FR" w:eastAsia="fr-FR"/>
              </w:rPr>
              <w:t>Les Tof Services</w:t>
            </w:r>
          </w:p>
        </w:tc>
        <w:tc>
          <w:tcPr>
            <w:tcW w:w="2551" w:type="dxa"/>
            <w:tcBorders>
              <w:top w:val="single" w:sz="4" w:space="0" w:color="auto"/>
              <w:left w:val="single" w:sz="4" w:space="0" w:color="auto"/>
              <w:bottom w:val="single" w:sz="4" w:space="0" w:color="auto"/>
              <w:right w:val="single" w:sz="4" w:space="0" w:color="auto"/>
            </w:tcBorders>
            <w:hideMark/>
          </w:tcPr>
          <w:p w14:paraId="36A33828"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Ingrid Leruth </w:t>
            </w:r>
          </w:p>
        </w:tc>
        <w:tc>
          <w:tcPr>
            <w:tcW w:w="679" w:type="dxa"/>
            <w:tcBorders>
              <w:top w:val="single" w:sz="4" w:space="0" w:color="auto"/>
              <w:left w:val="single" w:sz="4" w:space="0" w:color="auto"/>
              <w:bottom w:val="single" w:sz="4" w:space="0" w:color="auto"/>
              <w:right w:val="single" w:sz="4" w:space="0" w:color="auto"/>
            </w:tcBorders>
            <w:hideMark/>
          </w:tcPr>
          <w:p w14:paraId="2EAE1C24" w14:textId="0DDFC337"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81034E" w:rsidRPr="007F28E2" w14:paraId="6273FAC1"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39EBFBFC"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15.</w:t>
            </w:r>
            <w:r w:rsidRPr="007F28E2">
              <w:rPr>
                <w:rFonts w:eastAsia="Times New Roman" w:cs="Calibri"/>
                <w:b/>
                <w:bCs/>
                <w:sz w:val="22"/>
                <w:szCs w:val="22"/>
                <w:lang w:val="fr-FR" w:eastAsia="fr-FR"/>
              </w:rPr>
              <w:t>Ligue Braille</w:t>
            </w:r>
          </w:p>
        </w:tc>
        <w:tc>
          <w:tcPr>
            <w:tcW w:w="2410" w:type="dxa"/>
            <w:tcBorders>
              <w:top w:val="single" w:sz="4" w:space="0" w:color="auto"/>
              <w:left w:val="single" w:sz="4" w:space="0" w:color="auto"/>
              <w:bottom w:val="single" w:sz="4" w:space="0" w:color="auto"/>
              <w:right w:val="single" w:sz="4" w:space="0" w:color="auto"/>
            </w:tcBorders>
            <w:hideMark/>
          </w:tcPr>
          <w:p w14:paraId="2D2ECEB6"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Sophie Arschoot</w:t>
            </w:r>
          </w:p>
        </w:tc>
        <w:tc>
          <w:tcPr>
            <w:tcW w:w="709" w:type="dxa"/>
            <w:tcBorders>
              <w:top w:val="single" w:sz="4" w:space="0" w:color="auto"/>
              <w:left w:val="single" w:sz="4" w:space="0" w:color="auto"/>
              <w:bottom w:val="single" w:sz="4" w:space="0" w:color="auto"/>
              <w:right w:val="single" w:sz="4" w:space="0" w:color="auto"/>
            </w:tcBorders>
            <w:hideMark/>
          </w:tcPr>
          <w:p w14:paraId="77BCDFA0" w14:textId="033B52FE"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23DBF038" w14:textId="77777777" w:rsidR="0081034E" w:rsidRPr="007F28E2" w:rsidRDefault="0081034E" w:rsidP="000E495A">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16.</w:t>
            </w:r>
            <w:r w:rsidRPr="007F28E2">
              <w:rPr>
                <w:rFonts w:eastAsia="Times New Roman" w:cs="Calibri"/>
                <w:b/>
                <w:bCs/>
                <w:iCs/>
                <w:sz w:val="22"/>
                <w:szCs w:val="22"/>
                <w:lang w:val="fr-FR" w:eastAsia="fr-FR"/>
              </w:rPr>
              <w:t>Info-sourds</w:t>
            </w:r>
          </w:p>
        </w:tc>
        <w:tc>
          <w:tcPr>
            <w:tcW w:w="2551" w:type="dxa"/>
            <w:tcBorders>
              <w:top w:val="single" w:sz="4" w:space="0" w:color="auto"/>
              <w:left w:val="single" w:sz="4" w:space="0" w:color="auto"/>
              <w:bottom w:val="single" w:sz="4" w:space="0" w:color="auto"/>
              <w:right w:val="single" w:sz="4" w:space="0" w:color="auto"/>
            </w:tcBorders>
            <w:hideMark/>
          </w:tcPr>
          <w:p w14:paraId="479B47D2" w14:textId="77777777" w:rsidR="0081034E" w:rsidRPr="007F28E2" w:rsidRDefault="0081034E" w:rsidP="000E495A">
            <w:pPr>
              <w:spacing w:after="0" w:line="276" w:lineRule="auto"/>
              <w:rPr>
                <w:rFonts w:eastAsia="Times New Roman" w:cs="Calibri"/>
                <w:sz w:val="22"/>
                <w:szCs w:val="22"/>
                <w:lang w:val="nl-NL" w:eastAsia="fr-FR"/>
              </w:rPr>
            </w:pPr>
            <w:r w:rsidRPr="007F28E2">
              <w:rPr>
                <w:rFonts w:eastAsia="Times New Roman" w:cs="Calibri"/>
                <w:sz w:val="22"/>
                <w:szCs w:val="22"/>
                <w:lang w:val="nl-NL" w:eastAsia="fr-FR"/>
              </w:rPr>
              <w:t xml:space="preserve">Pascale van der Belen </w:t>
            </w:r>
          </w:p>
        </w:tc>
        <w:tc>
          <w:tcPr>
            <w:tcW w:w="679" w:type="dxa"/>
            <w:tcBorders>
              <w:top w:val="single" w:sz="4" w:space="0" w:color="auto"/>
              <w:left w:val="single" w:sz="4" w:space="0" w:color="auto"/>
              <w:bottom w:val="single" w:sz="4" w:space="0" w:color="auto"/>
              <w:right w:val="single" w:sz="4" w:space="0" w:color="auto"/>
            </w:tcBorders>
            <w:hideMark/>
          </w:tcPr>
          <w:p w14:paraId="2B1F14F6" w14:textId="50F4D51D" w:rsidR="0081034E" w:rsidRPr="007F28E2" w:rsidRDefault="00314760" w:rsidP="000E495A">
            <w:pPr>
              <w:spacing w:after="0" w:line="276" w:lineRule="auto"/>
              <w:rPr>
                <w:rFonts w:eastAsia="Times New Roman" w:cs="Calibri"/>
                <w:sz w:val="22"/>
                <w:szCs w:val="22"/>
                <w:lang w:val="nl-NL" w:eastAsia="fr-FR"/>
              </w:rPr>
            </w:pPr>
            <w:r>
              <w:rPr>
                <w:rFonts w:eastAsia="Times New Roman" w:cs="Calibri"/>
                <w:sz w:val="22"/>
                <w:szCs w:val="22"/>
                <w:lang w:val="nl-NL" w:eastAsia="fr-FR"/>
              </w:rPr>
              <w:t>E</w:t>
            </w:r>
          </w:p>
        </w:tc>
      </w:tr>
      <w:tr w:rsidR="0081034E" w:rsidRPr="007F28E2" w14:paraId="0D1B1638"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1667B2B4"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17.</w:t>
            </w:r>
            <w:r w:rsidRPr="007F28E2">
              <w:rPr>
                <w:rFonts w:eastAsia="Times New Roman" w:cs="Calibri"/>
                <w:b/>
                <w:bCs/>
                <w:sz w:val="22"/>
                <w:szCs w:val="22"/>
                <w:lang w:val="fr-FR" w:eastAsia="fr-FR"/>
              </w:rPr>
              <w:t>Eqla</w:t>
            </w:r>
          </w:p>
        </w:tc>
        <w:tc>
          <w:tcPr>
            <w:tcW w:w="2410" w:type="dxa"/>
            <w:tcBorders>
              <w:top w:val="single" w:sz="4" w:space="0" w:color="auto"/>
              <w:left w:val="single" w:sz="4" w:space="0" w:color="auto"/>
              <w:bottom w:val="single" w:sz="4" w:space="0" w:color="auto"/>
              <w:right w:val="single" w:sz="4" w:space="0" w:color="auto"/>
            </w:tcBorders>
            <w:hideMark/>
          </w:tcPr>
          <w:p w14:paraId="233F6F25"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Claire Heurckmans</w:t>
            </w:r>
          </w:p>
        </w:tc>
        <w:tc>
          <w:tcPr>
            <w:tcW w:w="709" w:type="dxa"/>
            <w:tcBorders>
              <w:top w:val="single" w:sz="4" w:space="0" w:color="auto"/>
              <w:left w:val="single" w:sz="4" w:space="0" w:color="auto"/>
              <w:bottom w:val="single" w:sz="4" w:space="0" w:color="auto"/>
              <w:right w:val="single" w:sz="4" w:space="0" w:color="auto"/>
            </w:tcBorders>
            <w:hideMark/>
          </w:tcPr>
          <w:p w14:paraId="5397AA6B" w14:textId="15EB9CBD"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7C71ABC0"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18.</w:t>
            </w:r>
            <w:r w:rsidRPr="007F28E2">
              <w:rPr>
                <w:rFonts w:eastAsia="Times New Roman" w:cs="Calibri"/>
                <w:b/>
                <w:bCs/>
                <w:sz w:val="22"/>
                <w:szCs w:val="22"/>
                <w:lang w:val="fr-FR" w:eastAsia="fr-FR"/>
              </w:rPr>
              <w:t>Emergence</w:t>
            </w:r>
          </w:p>
        </w:tc>
        <w:tc>
          <w:tcPr>
            <w:tcW w:w="2551" w:type="dxa"/>
            <w:tcBorders>
              <w:top w:val="single" w:sz="4" w:space="0" w:color="auto"/>
              <w:left w:val="single" w:sz="4" w:space="0" w:color="auto"/>
              <w:bottom w:val="single" w:sz="4" w:space="0" w:color="auto"/>
              <w:right w:val="single" w:sz="4" w:space="0" w:color="auto"/>
            </w:tcBorders>
            <w:hideMark/>
          </w:tcPr>
          <w:p w14:paraId="2FD6DFA2"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eastAsia="fr-FR"/>
              </w:rPr>
              <w:t>Coralie JACOBS</w:t>
            </w:r>
          </w:p>
        </w:tc>
        <w:tc>
          <w:tcPr>
            <w:tcW w:w="679" w:type="dxa"/>
            <w:tcBorders>
              <w:top w:val="single" w:sz="4" w:space="0" w:color="auto"/>
              <w:left w:val="single" w:sz="4" w:space="0" w:color="auto"/>
              <w:bottom w:val="single" w:sz="4" w:space="0" w:color="auto"/>
              <w:right w:val="single" w:sz="4" w:space="0" w:color="auto"/>
            </w:tcBorders>
            <w:hideMark/>
          </w:tcPr>
          <w:p w14:paraId="614E1F7E" w14:textId="5BA098EB"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r>
      <w:tr w:rsidR="0081034E" w:rsidRPr="007F28E2" w14:paraId="6E101DD7"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633015F8"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19.</w:t>
            </w:r>
            <w:r w:rsidRPr="007F28E2">
              <w:rPr>
                <w:rFonts w:eastAsia="Times New Roman" w:cs="Calibri"/>
                <w:b/>
                <w:bCs/>
                <w:sz w:val="22"/>
                <w:szCs w:val="22"/>
                <w:lang w:val="fr-FR" w:eastAsia="fr-FR"/>
              </w:rPr>
              <w:t>Réci</w:t>
            </w:r>
          </w:p>
        </w:tc>
        <w:tc>
          <w:tcPr>
            <w:tcW w:w="2410" w:type="dxa"/>
            <w:tcBorders>
              <w:top w:val="single" w:sz="4" w:space="0" w:color="auto"/>
              <w:left w:val="single" w:sz="4" w:space="0" w:color="auto"/>
              <w:bottom w:val="single" w:sz="4" w:space="0" w:color="auto"/>
              <w:right w:val="single" w:sz="4" w:space="0" w:color="auto"/>
            </w:tcBorders>
            <w:hideMark/>
          </w:tcPr>
          <w:p w14:paraId="46C7AAB4"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Claire Dosin</w:t>
            </w:r>
          </w:p>
        </w:tc>
        <w:tc>
          <w:tcPr>
            <w:tcW w:w="709" w:type="dxa"/>
            <w:tcBorders>
              <w:top w:val="single" w:sz="4" w:space="0" w:color="auto"/>
              <w:left w:val="single" w:sz="4" w:space="0" w:color="auto"/>
              <w:bottom w:val="single" w:sz="4" w:space="0" w:color="auto"/>
              <w:right w:val="single" w:sz="4" w:space="0" w:color="auto"/>
            </w:tcBorders>
            <w:hideMark/>
          </w:tcPr>
          <w:p w14:paraId="74EC8C89" w14:textId="0AE8B690"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31D8591C"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20.</w:t>
            </w:r>
            <w:r w:rsidRPr="007F28E2">
              <w:rPr>
                <w:rFonts w:eastAsia="Times New Roman" w:cs="Calibri"/>
                <w:b/>
                <w:bCs/>
                <w:sz w:val="22"/>
                <w:szCs w:val="22"/>
                <w:lang w:val="fr-FR" w:eastAsia="fr-FR"/>
              </w:rPr>
              <w:t>Transition</w:t>
            </w:r>
          </w:p>
        </w:tc>
        <w:tc>
          <w:tcPr>
            <w:tcW w:w="2551" w:type="dxa"/>
            <w:tcBorders>
              <w:top w:val="single" w:sz="4" w:space="0" w:color="auto"/>
              <w:left w:val="single" w:sz="4" w:space="0" w:color="auto"/>
              <w:bottom w:val="single" w:sz="4" w:space="0" w:color="auto"/>
              <w:right w:val="single" w:sz="4" w:space="0" w:color="auto"/>
            </w:tcBorders>
            <w:hideMark/>
          </w:tcPr>
          <w:p w14:paraId="53DF4C08"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Morgane Harms</w:t>
            </w:r>
          </w:p>
        </w:tc>
        <w:tc>
          <w:tcPr>
            <w:tcW w:w="679" w:type="dxa"/>
            <w:tcBorders>
              <w:top w:val="single" w:sz="4" w:space="0" w:color="auto"/>
              <w:left w:val="single" w:sz="4" w:space="0" w:color="auto"/>
              <w:bottom w:val="single" w:sz="4" w:space="0" w:color="auto"/>
              <w:right w:val="single" w:sz="4" w:space="0" w:color="auto"/>
            </w:tcBorders>
            <w:hideMark/>
          </w:tcPr>
          <w:p w14:paraId="3874A5F9" w14:textId="3B1751FA"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r>
      <w:tr w:rsidR="0081034E" w:rsidRPr="007F28E2" w14:paraId="2A64AD65"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7B55BFE1"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21</w:t>
            </w:r>
            <w:r w:rsidRPr="007F28E2">
              <w:rPr>
                <w:rFonts w:eastAsia="Times New Roman" w:cs="Calibri"/>
                <w:b/>
                <w:bCs/>
                <w:sz w:val="22"/>
                <w:szCs w:val="22"/>
                <w:lang w:val="fr-FR" w:eastAsia="fr-FR"/>
              </w:rPr>
              <w:t>.Ricochet</w:t>
            </w:r>
          </w:p>
        </w:tc>
        <w:tc>
          <w:tcPr>
            <w:tcW w:w="2410" w:type="dxa"/>
            <w:tcBorders>
              <w:top w:val="single" w:sz="4" w:space="0" w:color="auto"/>
              <w:left w:val="single" w:sz="4" w:space="0" w:color="auto"/>
              <w:bottom w:val="single" w:sz="4" w:space="0" w:color="auto"/>
              <w:right w:val="single" w:sz="4" w:space="0" w:color="auto"/>
            </w:tcBorders>
            <w:hideMark/>
          </w:tcPr>
          <w:p w14:paraId="23AF27D5"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Elise Florent</w:t>
            </w:r>
          </w:p>
        </w:tc>
        <w:tc>
          <w:tcPr>
            <w:tcW w:w="709" w:type="dxa"/>
            <w:tcBorders>
              <w:top w:val="single" w:sz="4" w:space="0" w:color="auto"/>
              <w:left w:val="single" w:sz="4" w:space="0" w:color="auto"/>
              <w:bottom w:val="single" w:sz="4" w:space="0" w:color="auto"/>
              <w:right w:val="single" w:sz="4" w:space="0" w:color="auto"/>
            </w:tcBorders>
            <w:hideMark/>
          </w:tcPr>
          <w:p w14:paraId="1197CB0F" w14:textId="702CF0AC"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0755A62A"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22.</w:t>
            </w:r>
            <w:r w:rsidRPr="007F28E2">
              <w:rPr>
                <w:rFonts w:eastAsia="Times New Roman" w:cs="Calibri"/>
                <w:b/>
                <w:bCs/>
                <w:sz w:val="22"/>
                <w:szCs w:val="22"/>
                <w:lang w:val="fr-FR" w:eastAsia="fr-FR"/>
              </w:rPr>
              <w:t>Madras</w:t>
            </w:r>
          </w:p>
        </w:tc>
        <w:tc>
          <w:tcPr>
            <w:tcW w:w="2551" w:type="dxa"/>
            <w:tcBorders>
              <w:top w:val="single" w:sz="4" w:space="0" w:color="auto"/>
              <w:left w:val="single" w:sz="4" w:space="0" w:color="auto"/>
              <w:bottom w:val="single" w:sz="4" w:space="0" w:color="auto"/>
              <w:right w:val="single" w:sz="4" w:space="0" w:color="auto"/>
            </w:tcBorders>
            <w:hideMark/>
          </w:tcPr>
          <w:p w14:paraId="7BD45712"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iCs/>
                <w:sz w:val="22"/>
                <w:szCs w:val="22"/>
                <w:lang w:val="fr-FR" w:eastAsia="fr-FR"/>
              </w:rPr>
              <w:t>Cécile Javaux</w:t>
            </w:r>
          </w:p>
        </w:tc>
        <w:tc>
          <w:tcPr>
            <w:tcW w:w="679" w:type="dxa"/>
            <w:tcBorders>
              <w:top w:val="single" w:sz="4" w:space="0" w:color="auto"/>
              <w:left w:val="single" w:sz="4" w:space="0" w:color="auto"/>
              <w:bottom w:val="single" w:sz="4" w:space="0" w:color="auto"/>
              <w:right w:val="single" w:sz="4" w:space="0" w:color="auto"/>
            </w:tcBorders>
            <w:hideMark/>
          </w:tcPr>
          <w:p w14:paraId="1C1D4820" w14:textId="1CB069C3"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81034E" w:rsidRPr="007F28E2" w14:paraId="42887D73" w14:textId="77777777" w:rsidTr="00F82873">
        <w:tc>
          <w:tcPr>
            <w:tcW w:w="1985" w:type="dxa"/>
            <w:tcBorders>
              <w:top w:val="single" w:sz="4" w:space="0" w:color="auto"/>
              <w:left w:val="single" w:sz="4" w:space="0" w:color="auto"/>
              <w:bottom w:val="single" w:sz="4" w:space="0" w:color="auto"/>
              <w:right w:val="single" w:sz="4" w:space="0" w:color="auto"/>
            </w:tcBorders>
            <w:hideMark/>
          </w:tcPr>
          <w:p w14:paraId="735CD740"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23.</w:t>
            </w:r>
            <w:r w:rsidRPr="007F28E2">
              <w:rPr>
                <w:rFonts w:eastAsia="Times New Roman" w:cs="Calibri"/>
                <w:b/>
                <w:bCs/>
                <w:sz w:val="22"/>
                <w:szCs w:val="22"/>
                <w:lang w:val="fr-FR" w:eastAsia="fr-FR"/>
              </w:rPr>
              <w:t>Saham</w:t>
            </w:r>
          </w:p>
        </w:tc>
        <w:tc>
          <w:tcPr>
            <w:tcW w:w="2410" w:type="dxa"/>
            <w:tcBorders>
              <w:top w:val="single" w:sz="4" w:space="0" w:color="auto"/>
              <w:left w:val="single" w:sz="4" w:space="0" w:color="auto"/>
              <w:bottom w:val="single" w:sz="4" w:space="0" w:color="auto"/>
              <w:right w:val="single" w:sz="4" w:space="0" w:color="auto"/>
            </w:tcBorders>
            <w:hideMark/>
          </w:tcPr>
          <w:p w14:paraId="4BBAB11A"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Cédric Raskin</w:t>
            </w:r>
          </w:p>
        </w:tc>
        <w:tc>
          <w:tcPr>
            <w:tcW w:w="709" w:type="dxa"/>
            <w:tcBorders>
              <w:top w:val="single" w:sz="4" w:space="0" w:color="auto"/>
              <w:left w:val="single" w:sz="4" w:space="0" w:color="auto"/>
              <w:bottom w:val="single" w:sz="4" w:space="0" w:color="auto"/>
              <w:right w:val="single" w:sz="4" w:space="0" w:color="auto"/>
            </w:tcBorders>
            <w:hideMark/>
          </w:tcPr>
          <w:p w14:paraId="54292037" w14:textId="69011075"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48C5BBCA" w14:textId="77777777" w:rsidR="0081034E" w:rsidRPr="007F28E2" w:rsidRDefault="0081034E" w:rsidP="000E495A">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24.</w:t>
            </w:r>
            <w:r w:rsidRPr="007F28E2">
              <w:rPr>
                <w:rFonts w:eastAsia="Times New Roman" w:cs="Calibri"/>
                <w:b/>
                <w:bCs/>
                <w:iCs/>
                <w:sz w:val="22"/>
                <w:szCs w:val="22"/>
                <w:lang w:val="fr-FR" w:eastAsia="fr-FR"/>
              </w:rPr>
              <w:t>Vivre et grandir</w:t>
            </w:r>
          </w:p>
        </w:tc>
        <w:tc>
          <w:tcPr>
            <w:tcW w:w="2551" w:type="dxa"/>
            <w:tcBorders>
              <w:top w:val="single" w:sz="4" w:space="0" w:color="auto"/>
              <w:left w:val="single" w:sz="4" w:space="0" w:color="auto"/>
              <w:bottom w:val="single" w:sz="4" w:space="0" w:color="auto"/>
              <w:right w:val="single" w:sz="4" w:space="0" w:color="auto"/>
            </w:tcBorders>
            <w:hideMark/>
          </w:tcPr>
          <w:p w14:paraId="64C21E1B"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Isaure de la Brunetière</w:t>
            </w:r>
          </w:p>
        </w:tc>
        <w:tc>
          <w:tcPr>
            <w:tcW w:w="679" w:type="dxa"/>
            <w:tcBorders>
              <w:top w:val="single" w:sz="4" w:space="0" w:color="auto"/>
              <w:left w:val="single" w:sz="4" w:space="0" w:color="auto"/>
              <w:bottom w:val="single" w:sz="4" w:space="0" w:color="auto"/>
              <w:right w:val="single" w:sz="4" w:space="0" w:color="auto"/>
            </w:tcBorders>
            <w:hideMark/>
          </w:tcPr>
          <w:p w14:paraId="0609D6F7" w14:textId="5C50DD23"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81034E" w:rsidRPr="007F28E2" w14:paraId="4389734C" w14:textId="77777777" w:rsidTr="00F82873">
        <w:trPr>
          <w:trHeight w:val="250"/>
        </w:trPr>
        <w:tc>
          <w:tcPr>
            <w:tcW w:w="1985" w:type="dxa"/>
            <w:tcBorders>
              <w:top w:val="single" w:sz="4" w:space="0" w:color="auto"/>
              <w:left w:val="single" w:sz="4" w:space="0" w:color="auto"/>
              <w:bottom w:val="single" w:sz="4" w:space="0" w:color="auto"/>
              <w:right w:val="single" w:sz="4" w:space="0" w:color="auto"/>
            </w:tcBorders>
            <w:hideMark/>
          </w:tcPr>
          <w:p w14:paraId="094175B4"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25.</w:t>
            </w:r>
            <w:r w:rsidRPr="007F28E2">
              <w:rPr>
                <w:rFonts w:eastAsia="Times New Roman" w:cs="Calibri"/>
                <w:b/>
                <w:bCs/>
                <w:sz w:val="22"/>
                <w:szCs w:val="22"/>
                <w:lang w:val="fr-FR" w:eastAsia="fr-FR"/>
              </w:rPr>
              <w:t>Riga</w:t>
            </w:r>
          </w:p>
        </w:tc>
        <w:tc>
          <w:tcPr>
            <w:tcW w:w="2410" w:type="dxa"/>
            <w:tcBorders>
              <w:top w:val="single" w:sz="4" w:space="0" w:color="auto"/>
              <w:left w:val="single" w:sz="4" w:space="0" w:color="auto"/>
              <w:bottom w:val="single" w:sz="4" w:space="0" w:color="auto"/>
              <w:right w:val="single" w:sz="4" w:space="0" w:color="auto"/>
            </w:tcBorders>
            <w:hideMark/>
          </w:tcPr>
          <w:p w14:paraId="2F4D3476"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Benoît Gérard</w:t>
            </w:r>
          </w:p>
        </w:tc>
        <w:tc>
          <w:tcPr>
            <w:tcW w:w="709" w:type="dxa"/>
            <w:tcBorders>
              <w:top w:val="single" w:sz="4" w:space="0" w:color="auto"/>
              <w:left w:val="single" w:sz="4" w:space="0" w:color="auto"/>
              <w:bottom w:val="single" w:sz="4" w:space="0" w:color="auto"/>
              <w:right w:val="single" w:sz="4" w:space="0" w:color="auto"/>
            </w:tcBorders>
            <w:hideMark/>
          </w:tcPr>
          <w:p w14:paraId="3FE263F1" w14:textId="1796C3BC"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6B20DC8E" w14:textId="77777777" w:rsidR="0081034E" w:rsidRPr="007F28E2" w:rsidRDefault="0081034E" w:rsidP="000E495A">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26.</w:t>
            </w:r>
            <w:r w:rsidRPr="007F28E2">
              <w:rPr>
                <w:rFonts w:eastAsia="Times New Roman" w:cs="Calibri"/>
                <w:b/>
                <w:bCs/>
                <w:iCs/>
                <w:sz w:val="22"/>
                <w:szCs w:val="22"/>
                <w:lang w:val="fr-FR" w:eastAsia="fr-FR"/>
              </w:rPr>
              <w:t>Trait d’Union</w:t>
            </w:r>
          </w:p>
        </w:tc>
        <w:tc>
          <w:tcPr>
            <w:tcW w:w="2551" w:type="dxa"/>
            <w:tcBorders>
              <w:top w:val="single" w:sz="4" w:space="0" w:color="auto"/>
              <w:left w:val="single" w:sz="4" w:space="0" w:color="auto"/>
              <w:bottom w:val="single" w:sz="4" w:space="0" w:color="auto"/>
              <w:right w:val="single" w:sz="4" w:space="0" w:color="auto"/>
            </w:tcBorders>
            <w:hideMark/>
          </w:tcPr>
          <w:p w14:paraId="66BA22C7" w14:textId="77777777" w:rsidR="0081034E" w:rsidRPr="007F28E2" w:rsidRDefault="0081034E" w:rsidP="000E495A">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w:t>
            </w:r>
          </w:p>
        </w:tc>
        <w:tc>
          <w:tcPr>
            <w:tcW w:w="679" w:type="dxa"/>
            <w:tcBorders>
              <w:top w:val="single" w:sz="4" w:space="0" w:color="auto"/>
              <w:left w:val="single" w:sz="4" w:space="0" w:color="auto"/>
              <w:bottom w:val="single" w:sz="4" w:space="0" w:color="auto"/>
              <w:right w:val="single" w:sz="4" w:space="0" w:color="auto"/>
            </w:tcBorders>
            <w:hideMark/>
          </w:tcPr>
          <w:p w14:paraId="0DD51B6A"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w:t>
            </w:r>
          </w:p>
        </w:tc>
      </w:tr>
      <w:tr w:rsidR="0081034E" w:rsidRPr="007F28E2" w14:paraId="27392590" w14:textId="77777777" w:rsidTr="00F82873">
        <w:trPr>
          <w:trHeight w:val="334"/>
        </w:trPr>
        <w:tc>
          <w:tcPr>
            <w:tcW w:w="1985" w:type="dxa"/>
            <w:tcBorders>
              <w:top w:val="single" w:sz="4" w:space="0" w:color="auto"/>
              <w:left w:val="single" w:sz="4" w:space="0" w:color="auto"/>
              <w:bottom w:val="single" w:sz="4" w:space="0" w:color="auto"/>
              <w:right w:val="single" w:sz="4" w:space="0" w:color="auto"/>
            </w:tcBorders>
            <w:hideMark/>
          </w:tcPr>
          <w:p w14:paraId="0B18F085" w14:textId="77777777" w:rsidR="0081034E" w:rsidRPr="007F28E2" w:rsidRDefault="0081034E" w:rsidP="000E495A">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27.</w:t>
            </w:r>
            <w:r w:rsidRPr="007F28E2">
              <w:rPr>
                <w:rFonts w:eastAsia="Times New Roman" w:cs="Calibri"/>
                <w:b/>
                <w:bCs/>
                <w:sz w:val="22"/>
                <w:szCs w:val="22"/>
                <w:lang w:val="fr-FR" w:eastAsia="fr-FR"/>
              </w:rPr>
              <w:t>Uccle St-Job</w:t>
            </w:r>
          </w:p>
        </w:tc>
        <w:tc>
          <w:tcPr>
            <w:tcW w:w="2410" w:type="dxa"/>
            <w:tcBorders>
              <w:top w:val="single" w:sz="4" w:space="0" w:color="auto"/>
              <w:left w:val="single" w:sz="4" w:space="0" w:color="auto"/>
              <w:bottom w:val="single" w:sz="4" w:space="0" w:color="auto"/>
              <w:right w:val="single" w:sz="4" w:space="0" w:color="auto"/>
            </w:tcBorders>
            <w:hideMark/>
          </w:tcPr>
          <w:p w14:paraId="56CFE3D9" w14:textId="77777777" w:rsidR="0081034E" w:rsidRPr="007F28E2" w:rsidRDefault="0081034E" w:rsidP="000E495A">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Maité Dhyon </w:t>
            </w:r>
          </w:p>
        </w:tc>
        <w:tc>
          <w:tcPr>
            <w:tcW w:w="709" w:type="dxa"/>
            <w:tcBorders>
              <w:top w:val="single" w:sz="4" w:space="0" w:color="auto"/>
              <w:left w:val="single" w:sz="4" w:space="0" w:color="auto"/>
              <w:bottom w:val="single" w:sz="4" w:space="0" w:color="auto"/>
              <w:right w:val="single" w:sz="4" w:space="0" w:color="auto"/>
            </w:tcBorders>
            <w:hideMark/>
          </w:tcPr>
          <w:p w14:paraId="0064EB41" w14:textId="0719EB9A" w:rsidR="0081034E" w:rsidRPr="007F28E2" w:rsidRDefault="00314760"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3AA1D3E9" w14:textId="77777777" w:rsidR="0081034E" w:rsidRPr="007F28E2" w:rsidRDefault="0081034E" w:rsidP="000E495A">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28.</w:t>
            </w:r>
            <w:r w:rsidRPr="007F28E2">
              <w:rPr>
                <w:rFonts w:eastAsia="Times New Roman" w:cs="Calibri"/>
                <w:b/>
                <w:bCs/>
                <w:iCs/>
                <w:sz w:val="22"/>
                <w:szCs w:val="22"/>
                <w:lang w:val="fr-FR" w:eastAsia="fr-FR"/>
              </w:rPr>
              <w:t>Dynam’autes</w:t>
            </w:r>
          </w:p>
        </w:tc>
        <w:tc>
          <w:tcPr>
            <w:tcW w:w="2551" w:type="dxa"/>
            <w:tcBorders>
              <w:top w:val="single" w:sz="4" w:space="0" w:color="auto"/>
              <w:left w:val="single" w:sz="4" w:space="0" w:color="auto"/>
              <w:bottom w:val="single" w:sz="4" w:space="0" w:color="auto"/>
              <w:right w:val="single" w:sz="4" w:space="0" w:color="auto"/>
            </w:tcBorders>
            <w:hideMark/>
          </w:tcPr>
          <w:p w14:paraId="6D4B6D6E" w14:textId="77777777" w:rsidR="0081034E" w:rsidRPr="007F28E2" w:rsidRDefault="0081034E" w:rsidP="000E495A">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Florian Bernard</w:t>
            </w:r>
          </w:p>
        </w:tc>
        <w:tc>
          <w:tcPr>
            <w:tcW w:w="679" w:type="dxa"/>
            <w:tcBorders>
              <w:top w:val="single" w:sz="4" w:space="0" w:color="auto"/>
              <w:left w:val="single" w:sz="4" w:space="0" w:color="auto"/>
              <w:bottom w:val="single" w:sz="4" w:space="0" w:color="auto"/>
              <w:right w:val="single" w:sz="4" w:space="0" w:color="auto"/>
            </w:tcBorders>
            <w:hideMark/>
          </w:tcPr>
          <w:p w14:paraId="01B210BF" w14:textId="28EBAF12" w:rsidR="0081034E" w:rsidRPr="007F28E2" w:rsidRDefault="00F82873" w:rsidP="000E495A">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bl>
    <w:bookmarkEnd w:id="0"/>
    <w:p w14:paraId="5662C54D" w14:textId="77777777" w:rsidR="0081034E" w:rsidRPr="007F28E2" w:rsidRDefault="0081034E" w:rsidP="0081034E">
      <w:pPr>
        <w:pStyle w:val="Sansinterligne"/>
        <w:rPr>
          <w:rStyle w:val="lev"/>
          <w:rFonts w:eastAsiaTheme="majorEastAsia"/>
          <w:b w:val="0"/>
          <w:bCs w:val="0"/>
          <w:i/>
          <w:iCs/>
          <w:sz w:val="20"/>
          <w:szCs w:val="20"/>
        </w:rPr>
      </w:pPr>
      <w:r w:rsidRPr="007F28E2">
        <w:rPr>
          <w:rStyle w:val="lev"/>
          <w:rFonts w:eastAsiaTheme="majorEastAsia"/>
          <w:i/>
          <w:iCs/>
          <w:sz w:val="20"/>
          <w:szCs w:val="20"/>
        </w:rPr>
        <w:t xml:space="preserve">  </w:t>
      </w:r>
      <w:r w:rsidRPr="007F28E2">
        <w:rPr>
          <w:rStyle w:val="lev"/>
          <w:rFonts w:eastAsiaTheme="majorEastAsia"/>
          <w:b w:val="0"/>
          <w:bCs w:val="0"/>
          <w:i/>
          <w:iCs/>
          <w:sz w:val="20"/>
          <w:szCs w:val="20"/>
        </w:rPr>
        <w:t xml:space="preserve">Secrétaire de séance : Olivia Pâquet </w:t>
      </w:r>
    </w:p>
    <w:p w14:paraId="26381076" w14:textId="565D2DDE" w:rsidR="0081034E" w:rsidRPr="007F28E2" w:rsidRDefault="0081034E" w:rsidP="0081034E">
      <w:pPr>
        <w:pStyle w:val="NormalWeb"/>
        <w:numPr>
          <w:ilvl w:val="0"/>
          <w:numId w:val="3"/>
        </w:numPr>
        <w:rPr>
          <w:rFonts w:asciiTheme="minorHAnsi" w:hAnsiTheme="minorHAnsi"/>
        </w:rPr>
      </w:pPr>
      <w:r w:rsidRPr="007F28E2">
        <w:rPr>
          <w:rStyle w:val="lev"/>
          <w:rFonts w:asciiTheme="minorHAnsi" w:eastAsiaTheme="majorEastAsia" w:hAnsiTheme="minorHAnsi"/>
        </w:rPr>
        <w:t>Le PV du mois de septembre est approuvé.</w:t>
      </w:r>
      <w:r w:rsidRPr="007F28E2">
        <w:rPr>
          <w:rStyle w:val="lev"/>
          <w:rFonts w:asciiTheme="minorHAnsi" w:eastAsiaTheme="majorEastAsia" w:hAnsiTheme="minorHAnsi"/>
        </w:rPr>
        <w:br/>
      </w:r>
    </w:p>
    <w:p w14:paraId="196165A6" w14:textId="77777777" w:rsidR="0020209A" w:rsidRPr="007F28E2" w:rsidRDefault="0020209A" w:rsidP="0020209A">
      <w:pPr>
        <w:pStyle w:val="Paragraphedeliste"/>
        <w:numPr>
          <w:ilvl w:val="0"/>
          <w:numId w:val="3"/>
        </w:numPr>
        <w:spacing w:before="100" w:beforeAutospacing="1" w:after="100" w:afterAutospacing="1" w:line="240" w:lineRule="auto"/>
        <w:outlineLvl w:val="2"/>
        <w:rPr>
          <w:rFonts w:eastAsia="Times New Roman" w:cs="Times New Roman"/>
          <w:b/>
          <w:bCs/>
          <w:kern w:val="0"/>
          <w:lang w:eastAsia="fr-BE"/>
          <w14:ligatures w14:val="none"/>
        </w:rPr>
      </w:pPr>
      <w:r w:rsidRPr="007F28E2">
        <w:rPr>
          <w:rFonts w:eastAsia="Times New Roman" w:cs="Times New Roman"/>
          <w:b/>
          <w:bCs/>
          <w:kern w:val="0"/>
          <w:lang w:eastAsia="fr-BE"/>
          <w14:ligatures w14:val="none"/>
        </w:rPr>
        <w:t>Revalorisation salariale</w:t>
      </w:r>
    </w:p>
    <w:p w14:paraId="488563A7" w14:textId="77777777" w:rsidR="0020209A" w:rsidRPr="0020209A" w:rsidRDefault="0020209A" w:rsidP="0020209A">
      <w:pPr>
        <w:spacing w:before="100" w:beforeAutospacing="1" w:after="100" w:afterAutospacing="1" w:line="240" w:lineRule="auto"/>
        <w:rPr>
          <w:rFonts w:eastAsia="Times New Roman" w:cs="Times New Roman"/>
          <w:kern w:val="0"/>
          <w:sz w:val="22"/>
          <w:szCs w:val="22"/>
          <w:lang w:eastAsia="fr-BE"/>
          <w14:ligatures w14:val="none"/>
        </w:rPr>
      </w:pPr>
      <w:r w:rsidRPr="0020209A">
        <w:rPr>
          <w:rFonts w:eastAsia="Times New Roman" w:cs="Times New Roman"/>
          <w:kern w:val="0"/>
          <w:sz w:val="22"/>
          <w:szCs w:val="22"/>
          <w:lang w:eastAsia="fr-BE"/>
          <w14:ligatures w14:val="none"/>
        </w:rPr>
        <w:t xml:space="preserve">Le groupe de travail </w:t>
      </w:r>
      <w:r w:rsidRPr="0020209A">
        <w:rPr>
          <w:rFonts w:eastAsia="Times New Roman" w:cs="Times New Roman"/>
          <w:b/>
          <w:bCs/>
          <w:kern w:val="0"/>
          <w:sz w:val="22"/>
          <w:szCs w:val="22"/>
          <w:lang w:eastAsia="fr-BE"/>
          <w14:ligatures w14:val="none"/>
        </w:rPr>
        <w:t>319.00 – 319.02</w:t>
      </w:r>
      <w:r w:rsidRPr="0020209A">
        <w:rPr>
          <w:rFonts w:eastAsia="Times New Roman" w:cs="Times New Roman"/>
          <w:kern w:val="0"/>
          <w:sz w:val="22"/>
          <w:szCs w:val="22"/>
          <w:lang w:eastAsia="fr-BE"/>
          <w14:ligatures w14:val="none"/>
        </w:rPr>
        <w:t xml:space="preserve">, chargé de l’exécution de l’accord non-marchand bruxellois, s’est réuni les </w:t>
      </w:r>
      <w:r w:rsidRPr="0020209A">
        <w:rPr>
          <w:rFonts w:eastAsia="Times New Roman" w:cs="Times New Roman"/>
          <w:b/>
          <w:bCs/>
          <w:kern w:val="0"/>
          <w:sz w:val="22"/>
          <w:szCs w:val="22"/>
          <w:lang w:eastAsia="fr-BE"/>
          <w14:ligatures w14:val="none"/>
        </w:rPr>
        <w:t>23/10/2025</w:t>
      </w:r>
      <w:r w:rsidRPr="0020209A">
        <w:rPr>
          <w:rFonts w:eastAsia="Times New Roman" w:cs="Times New Roman"/>
          <w:kern w:val="0"/>
          <w:sz w:val="22"/>
          <w:szCs w:val="22"/>
          <w:lang w:eastAsia="fr-BE"/>
          <w14:ligatures w14:val="none"/>
        </w:rPr>
        <w:t xml:space="preserve"> et </w:t>
      </w:r>
      <w:r w:rsidRPr="0020209A">
        <w:rPr>
          <w:rFonts w:eastAsia="Times New Roman" w:cs="Times New Roman"/>
          <w:b/>
          <w:bCs/>
          <w:kern w:val="0"/>
          <w:sz w:val="22"/>
          <w:szCs w:val="22"/>
          <w:lang w:eastAsia="fr-BE"/>
          <w14:ligatures w14:val="none"/>
        </w:rPr>
        <w:t>27/10/2025</w:t>
      </w:r>
      <w:r w:rsidRPr="0020209A">
        <w:rPr>
          <w:rFonts w:eastAsia="Times New Roman" w:cs="Times New Roman"/>
          <w:kern w:val="0"/>
          <w:sz w:val="22"/>
          <w:szCs w:val="22"/>
          <w:lang w:eastAsia="fr-BE"/>
          <w14:ligatures w14:val="none"/>
        </w:rPr>
        <w:t>, et est parvenu à un accord de principe :</w:t>
      </w:r>
    </w:p>
    <w:p w14:paraId="404CC90C" w14:textId="77777777" w:rsidR="0020209A" w:rsidRPr="0020209A" w:rsidRDefault="0020209A" w:rsidP="0020209A">
      <w:pPr>
        <w:numPr>
          <w:ilvl w:val="0"/>
          <w:numId w:val="7"/>
        </w:numPr>
        <w:spacing w:before="100" w:beforeAutospacing="1" w:after="100" w:afterAutospacing="1" w:line="240" w:lineRule="auto"/>
        <w:rPr>
          <w:rFonts w:eastAsia="Times New Roman" w:cs="Times New Roman"/>
          <w:kern w:val="0"/>
          <w:sz w:val="22"/>
          <w:szCs w:val="22"/>
          <w:lang w:eastAsia="fr-BE"/>
          <w14:ligatures w14:val="none"/>
        </w:rPr>
      </w:pPr>
      <w:r w:rsidRPr="0020209A">
        <w:rPr>
          <w:rFonts w:eastAsia="Times New Roman" w:cs="Times New Roman"/>
          <w:b/>
          <w:bCs/>
          <w:kern w:val="0"/>
          <w:sz w:val="22"/>
          <w:szCs w:val="22"/>
          <w:lang w:eastAsia="fr-BE"/>
          <w14:ligatures w14:val="none"/>
        </w:rPr>
        <w:t>+5 %</w:t>
      </w:r>
      <w:r w:rsidRPr="0020209A">
        <w:rPr>
          <w:rFonts w:eastAsia="Times New Roman" w:cs="Times New Roman"/>
          <w:kern w:val="0"/>
          <w:sz w:val="22"/>
          <w:szCs w:val="22"/>
          <w:lang w:eastAsia="fr-BE"/>
          <w14:ligatures w14:val="none"/>
        </w:rPr>
        <w:t xml:space="preserve"> pour tous les directeurs (barèmes </w:t>
      </w:r>
      <w:r w:rsidRPr="0020209A">
        <w:rPr>
          <w:rFonts w:eastAsia="Times New Roman" w:cs="Times New Roman"/>
          <w:b/>
          <w:bCs/>
          <w:kern w:val="0"/>
          <w:sz w:val="22"/>
          <w:szCs w:val="22"/>
          <w:lang w:eastAsia="fr-BE"/>
          <w14:ligatures w14:val="none"/>
        </w:rPr>
        <w:t>1 et 2</w:t>
      </w:r>
      <w:r w:rsidRPr="0020209A">
        <w:rPr>
          <w:rFonts w:eastAsia="Times New Roman" w:cs="Times New Roman"/>
          <w:kern w:val="0"/>
          <w:sz w:val="22"/>
          <w:szCs w:val="22"/>
          <w:lang w:eastAsia="fr-BE"/>
          <w14:ligatures w14:val="none"/>
        </w:rPr>
        <w:t xml:space="preserve">) du secteur handicap </w:t>
      </w:r>
      <w:r w:rsidRPr="0020209A">
        <w:rPr>
          <w:rFonts w:eastAsia="Times New Roman" w:cs="Times New Roman"/>
          <w:b/>
          <w:bCs/>
          <w:kern w:val="0"/>
          <w:sz w:val="22"/>
          <w:szCs w:val="22"/>
          <w:lang w:eastAsia="fr-BE"/>
          <w14:ligatures w14:val="none"/>
        </w:rPr>
        <w:t>COCOF</w:t>
      </w:r>
      <w:r w:rsidRPr="0020209A">
        <w:rPr>
          <w:rFonts w:eastAsia="Times New Roman" w:cs="Times New Roman"/>
          <w:kern w:val="0"/>
          <w:sz w:val="22"/>
          <w:szCs w:val="22"/>
          <w:lang w:eastAsia="fr-BE"/>
          <w14:ligatures w14:val="none"/>
        </w:rPr>
        <w:t>,</w:t>
      </w:r>
      <w:r w:rsidRPr="0020209A">
        <w:rPr>
          <w:rFonts w:eastAsia="Times New Roman" w:cs="Times New Roman"/>
          <w:kern w:val="0"/>
          <w:sz w:val="22"/>
          <w:szCs w:val="22"/>
          <w:lang w:eastAsia="fr-BE"/>
          <w14:ligatures w14:val="none"/>
        </w:rPr>
        <w:br/>
      </w:r>
      <w:r w:rsidRPr="0020209A">
        <w:rPr>
          <w:rFonts w:eastAsia="Times New Roman" w:cs="Times New Roman"/>
          <w:b/>
          <w:bCs/>
          <w:kern w:val="0"/>
          <w:sz w:val="22"/>
          <w:szCs w:val="22"/>
          <w:lang w:eastAsia="fr-BE"/>
          <w14:ligatures w14:val="none"/>
        </w:rPr>
        <w:t>+5 % supplémentaires</w:t>
      </w:r>
      <w:r w:rsidRPr="0020209A">
        <w:rPr>
          <w:rFonts w:eastAsia="Times New Roman" w:cs="Times New Roman"/>
          <w:kern w:val="0"/>
          <w:sz w:val="22"/>
          <w:szCs w:val="22"/>
          <w:lang w:eastAsia="fr-BE"/>
          <w14:ligatures w14:val="none"/>
        </w:rPr>
        <w:t xml:space="preserve"> pour ceux ayant </w:t>
      </w:r>
      <w:r w:rsidRPr="0020209A">
        <w:rPr>
          <w:rFonts w:eastAsia="Times New Roman" w:cs="Times New Roman"/>
          <w:b/>
          <w:bCs/>
          <w:kern w:val="0"/>
          <w:sz w:val="22"/>
          <w:szCs w:val="22"/>
          <w:lang w:eastAsia="fr-BE"/>
          <w14:ligatures w14:val="none"/>
        </w:rPr>
        <w:t>au moins 10 ans d’ancienneté barémique</w:t>
      </w:r>
      <w:r w:rsidRPr="0020209A">
        <w:rPr>
          <w:rFonts w:eastAsia="Times New Roman" w:cs="Times New Roman"/>
          <w:kern w:val="0"/>
          <w:sz w:val="22"/>
          <w:szCs w:val="22"/>
          <w:lang w:eastAsia="fr-BE"/>
          <w14:ligatures w14:val="none"/>
        </w:rPr>
        <w:t>.</w:t>
      </w:r>
    </w:p>
    <w:p w14:paraId="5CC9A0DB" w14:textId="77777777" w:rsidR="0020209A" w:rsidRPr="0020209A" w:rsidRDefault="0020209A" w:rsidP="0020209A">
      <w:pPr>
        <w:numPr>
          <w:ilvl w:val="0"/>
          <w:numId w:val="7"/>
        </w:numPr>
        <w:spacing w:before="100" w:beforeAutospacing="1" w:after="100" w:afterAutospacing="1" w:line="240" w:lineRule="auto"/>
        <w:rPr>
          <w:rFonts w:eastAsia="Times New Roman" w:cs="Times New Roman"/>
          <w:kern w:val="0"/>
          <w:sz w:val="22"/>
          <w:szCs w:val="22"/>
          <w:lang w:eastAsia="fr-BE"/>
          <w14:ligatures w14:val="none"/>
        </w:rPr>
      </w:pPr>
      <w:r w:rsidRPr="0020209A">
        <w:rPr>
          <w:rFonts w:eastAsia="Times New Roman" w:cs="Times New Roman"/>
          <w:b/>
          <w:bCs/>
          <w:kern w:val="0"/>
          <w:sz w:val="22"/>
          <w:szCs w:val="22"/>
          <w:lang w:eastAsia="fr-BE"/>
          <w14:ligatures w14:val="none"/>
        </w:rPr>
        <w:t>+5 %</w:t>
      </w:r>
      <w:r w:rsidRPr="0020209A">
        <w:rPr>
          <w:rFonts w:eastAsia="Times New Roman" w:cs="Times New Roman"/>
          <w:kern w:val="0"/>
          <w:sz w:val="22"/>
          <w:szCs w:val="22"/>
          <w:lang w:eastAsia="fr-BE"/>
          <w14:ligatures w14:val="none"/>
        </w:rPr>
        <w:t xml:space="preserve"> pour tous les directeurs (barèmes </w:t>
      </w:r>
      <w:r w:rsidRPr="0020209A">
        <w:rPr>
          <w:rFonts w:eastAsia="Times New Roman" w:cs="Times New Roman"/>
          <w:b/>
          <w:bCs/>
          <w:kern w:val="0"/>
          <w:sz w:val="22"/>
          <w:szCs w:val="22"/>
          <w:lang w:eastAsia="fr-BE"/>
          <w14:ligatures w14:val="none"/>
        </w:rPr>
        <w:t>1 et 1bis</w:t>
      </w:r>
      <w:r w:rsidRPr="0020209A">
        <w:rPr>
          <w:rFonts w:eastAsia="Times New Roman" w:cs="Times New Roman"/>
          <w:kern w:val="0"/>
          <w:sz w:val="22"/>
          <w:szCs w:val="22"/>
          <w:lang w:eastAsia="fr-BE"/>
          <w14:ligatures w14:val="none"/>
        </w:rPr>
        <w:t xml:space="preserve">) du secteur handicap </w:t>
      </w:r>
      <w:r w:rsidRPr="0020209A">
        <w:rPr>
          <w:rFonts w:eastAsia="Times New Roman" w:cs="Times New Roman"/>
          <w:b/>
          <w:bCs/>
          <w:kern w:val="0"/>
          <w:sz w:val="22"/>
          <w:szCs w:val="22"/>
          <w:lang w:eastAsia="fr-BE"/>
          <w14:ligatures w14:val="none"/>
        </w:rPr>
        <w:t>COCOM</w:t>
      </w:r>
      <w:r w:rsidRPr="0020209A">
        <w:rPr>
          <w:rFonts w:eastAsia="Times New Roman" w:cs="Times New Roman"/>
          <w:kern w:val="0"/>
          <w:sz w:val="22"/>
          <w:szCs w:val="22"/>
          <w:lang w:eastAsia="fr-BE"/>
          <w14:ligatures w14:val="none"/>
        </w:rPr>
        <w:t>,</w:t>
      </w:r>
      <w:r w:rsidRPr="0020209A">
        <w:rPr>
          <w:rFonts w:eastAsia="Times New Roman" w:cs="Times New Roman"/>
          <w:kern w:val="0"/>
          <w:sz w:val="22"/>
          <w:szCs w:val="22"/>
          <w:lang w:eastAsia="fr-BE"/>
          <w14:ligatures w14:val="none"/>
        </w:rPr>
        <w:br/>
      </w:r>
      <w:r w:rsidRPr="0020209A">
        <w:rPr>
          <w:rFonts w:eastAsia="Times New Roman" w:cs="Times New Roman"/>
          <w:b/>
          <w:bCs/>
          <w:kern w:val="0"/>
          <w:sz w:val="22"/>
          <w:szCs w:val="22"/>
          <w:lang w:eastAsia="fr-BE"/>
          <w14:ligatures w14:val="none"/>
        </w:rPr>
        <w:t>+5 % supplémentaires</w:t>
      </w:r>
      <w:r w:rsidRPr="0020209A">
        <w:rPr>
          <w:rFonts w:eastAsia="Times New Roman" w:cs="Times New Roman"/>
          <w:kern w:val="0"/>
          <w:sz w:val="22"/>
          <w:szCs w:val="22"/>
          <w:lang w:eastAsia="fr-BE"/>
          <w14:ligatures w14:val="none"/>
        </w:rPr>
        <w:t xml:space="preserve"> pour ceux ayant </w:t>
      </w:r>
      <w:r w:rsidRPr="0020209A">
        <w:rPr>
          <w:rFonts w:eastAsia="Times New Roman" w:cs="Times New Roman"/>
          <w:b/>
          <w:bCs/>
          <w:kern w:val="0"/>
          <w:sz w:val="22"/>
          <w:szCs w:val="22"/>
          <w:lang w:eastAsia="fr-BE"/>
          <w14:ligatures w14:val="none"/>
        </w:rPr>
        <w:t>au moins 10 ans d’ancienneté barémique</w:t>
      </w:r>
      <w:r w:rsidRPr="0020209A">
        <w:rPr>
          <w:rFonts w:eastAsia="Times New Roman" w:cs="Times New Roman"/>
          <w:kern w:val="0"/>
          <w:sz w:val="22"/>
          <w:szCs w:val="22"/>
          <w:lang w:eastAsia="fr-BE"/>
          <w14:ligatures w14:val="none"/>
        </w:rPr>
        <w:t>.</w:t>
      </w:r>
    </w:p>
    <w:p w14:paraId="3E2CE70C" w14:textId="77777777" w:rsidR="0020209A" w:rsidRPr="0020209A" w:rsidRDefault="0020209A" w:rsidP="0020209A">
      <w:pPr>
        <w:numPr>
          <w:ilvl w:val="0"/>
          <w:numId w:val="7"/>
        </w:numPr>
        <w:spacing w:before="100" w:beforeAutospacing="1" w:after="100" w:afterAutospacing="1" w:line="240" w:lineRule="auto"/>
        <w:rPr>
          <w:rFonts w:eastAsia="Times New Roman" w:cs="Times New Roman"/>
          <w:kern w:val="0"/>
          <w:sz w:val="22"/>
          <w:szCs w:val="22"/>
          <w:lang w:eastAsia="fr-BE"/>
          <w14:ligatures w14:val="none"/>
        </w:rPr>
      </w:pPr>
      <w:r w:rsidRPr="0020209A">
        <w:rPr>
          <w:rFonts w:eastAsia="Times New Roman" w:cs="Times New Roman"/>
          <w:kern w:val="0"/>
          <w:sz w:val="22"/>
          <w:szCs w:val="22"/>
          <w:lang w:eastAsia="fr-BE"/>
          <w14:ligatures w14:val="none"/>
        </w:rPr>
        <w:t xml:space="preserve">Le reste de l’enveloppe est consacré à des </w:t>
      </w:r>
      <w:r w:rsidRPr="0020209A">
        <w:rPr>
          <w:rFonts w:eastAsia="Times New Roman" w:cs="Times New Roman"/>
          <w:b/>
          <w:bCs/>
          <w:kern w:val="0"/>
          <w:sz w:val="22"/>
          <w:szCs w:val="22"/>
          <w:lang w:eastAsia="fr-BE"/>
          <w14:ligatures w14:val="none"/>
        </w:rPr>
        <w:t>jours de congé supplémentaires</w:t>
      </w:r>
      <w:r w:rsidRPr="0020209A">
        <w:rPr>
          <w:rFonts w:eastAsia="Times New Roman" w:cs="Times New Roman"/>
          <w:kern w:val="0"/>
          <w:sz w:val="22"/>
          <w:szCs w:val="22"/>
          <w:lang w:eastAsia="fr-BE"/>
          <w14:ligatures w14:val="none"/>
        </w:rPr>
        <w:t xml:space="preserve"> :</w:t>
      </w:r>
      <w:r w:rsidRPr="0020209A">
        <w:rPr>
          <w:rFonts w:eastAsia="Times New Roman" w:cs="Times New Roman"/>
          <w:kern w:val="0"/>
          <w:sz w:val="22"/>
          <w:szCs w:val="22"/>
          <w:lang w:eastAsia="fr-BE"/>
          <w14:ligatures w14:val="none"/>
        </w:rPr>
        <w:br/>
      </w:r>
      <w:r w:rsidRPr="0020209A">
        <w:rPr>
          <w:rFonts w:eastAsia="Times New Roman" w:cs="Times New Roman"/>
          <w:b/>
          <w:bCs/>
          <w:kern w:val="0"/>
          <w:sz w:val="22"/>
          <w:szCs w:val="22"/>
          <w:lang w:eastAsia="fr-BE"/>
          <w14:ligatures w14:val="none"/>
        </w:rPr>
        <w:t>5 jours par ETP</w:t>
      </w:r>
      <w:r w:rsidRPr="0020209A">
        <w:rPr>
          <w:rFonts w:eastAsia="Times New Roman" w:cs="Times New Roman"/>
          <w:kern w:val="0"/>
          <w:sz w:val="22"/>
          <w:szCs w:val="22"/>
          <w:lang w:eastAsia="fr-BE"/>
          <w14:ligatures w14:val="none"/>
        </w:rPr>
        <w:t xml:space="preserve"> pour le secteur </w:t>
      </w:r>
      <w:r w:rsidRPr="0020209A">
        <w:rPr>
          <w:rFonts w:eastAsia="Times New Roman" w:cs="Times New Roman"/>
          <w:b/>
          <w:bCs/>
          <w:kern w:val="0"/>
          <w:sz w:val="22"/>
          <w:szCs w:val="22"/>
          <w:lang w:eastAsia="fr-BE"/>
          <w14:ligatures w14:val="none"/>
        </w:rPr>
        <w:t>COCOF</w:t>
      </w:r>
      <w:r w:rsidRPr="0020209A">
        <w:rPr>
          <w:rFonts w:eastAsia="Times New Roman" w:cs="Times New Roman"/>
          <w:kern w:val="0"/>
          <w:sz w:val="22"/>
          <w:szCs w:val="22"/>
          <w:lang w:eastAsia="fr-BE"/>
          <w14:ligatures w14:val="none"/>
        </w:rPr>
        <w:t xml:space="preserve"> et </w:t>
      </w:r>
      <w:r w:rsidRPr="0020209A">
        <w:rPr>
          <w:rFonts w:eastAsia="Times New Roman" w:cs="Times New Roman"/>
          <w:b/>
          <w:bCs/>
          <w:kern w:val="0"/>
          <w:sz w:val="22"/>
          <w:szCs w:val="22"/>
          <w:lang w:eastAsia="fr-BE"/>
          <w14:ligatures w14:val="none"/>
        </w:rPr>
        <w:t>4 jours par ETP</w:t>
      </w:r>
      <w:r w:rsidRPr="0020209A">
        <w:rPr>
          <w:rFonts w:eastAsia="Times New Roman" w:cs="Times New Roman"/>
          <w:kern w:val="0"/>
          <w:sz w:val="22"/>
          <w:szCs w:val="22"/>
          <w:lang w:eastAsia="fr-BE"/>
          <w14:ligatures w14:val="none"/>
        </w:rPr>
        <w:t xml:space="preserve"> pour le secteur </w:t>
      </w:r>
      <w:r w:rsidRPr="0020209A">
        <w:rPr>
          <w:rFonts w:eastAsia="Times New Roman" w:cs="Times New Roman"/>
          <w:b/>
          <w:bCs/>
          <w:kern w:val="0"/>
          <w:sz w:val="22"/>
          <w:szCs w:val="22"/>
          <w:lang w:eastAsia="fr-BE"/>
          <w14:ligatures w14:val="none"/>
        </w:rPr>
        <w:t>COCOM</w:t>
      </w:r>
      <w:r w:rsidRPr="0020209A">
        <w:rPr>
          <w:rFonts w:eastAsia="Times New Roman" w:cs="Times New Roman"/>
          <w:kern w:val="0"/>
          <w:sz w:val="22"/>
          <w:szCs w:val="22"/>
          <w:lang w:eastAsia="fr-BE"/>
          <w14:ligatures w14:val="none"/>
        </w:rPr>
        <w:t>.</w:t>
      </w:r>
    </w:p>
    <w:p w14:paraId="5BA88A01" w14:textId="2AEB229B" w:rsidR="0020209A" w:rsidRPr="0020209A" w:rsidRDefault="0020209A" w:rsidP="0020209A">
      <w:pPr>
        <w:spacing w:before="100" w:beforeAutospacing="1" w:after="100" w:afterAutospacing="1" w:line="240" w:lineRule="auto"/>
        <w:rPr>
          <w:rFonts w:eastAsia="Times New Roman" w:cs="Times New Roman"/>
          <w:kern w:val="0"/>
          <w:sz w:val="22"/>
          <w:szCs w:val="22"/>
          <w:lang w:eastAsia="fr-BE"/>
          <w14:ligatures w14:val="none"/>
        </w:rPr>
      </w:pPr>
      <w:r w:rsidRPr="0020209A">
        <w:rPr>
          <w:rFonts w:eastAsia="Times New Roman" w:cs="Times New Roman"/>
          <w:b/>
          <w:bCs/>
          <w:kern w:val="0"/>
          <w:sz w:val="22"/>
          <w:szCs w:val="22"/>
          <w:lang w:eastAsia="fr-BE"/>
          <w14:ligatures w14:val="none"/>
        </w:rPr>
        <w:t>Précisions</w:t>
      </w:r>
      <w:r w:rsidRPr="0020209A">
        <w:rPr>
          <w:rFonts w:eastAsia="Times New Roman" w:cs="Times New Roman"/>
          <w:kern w:val="0"/>
          <w:sz w:val="22"/>
          <w:szCs w:val="22"/>
          <w:lang w:eastAsia="fr-BE"/>
          <w14:ligatures w14:val="none"/>
        </w:rPr>
        <w:br/>
        <w:t xml:space="preserve">La </w:t>
      </w:r>
      <w:r w:rsidRPr="0020209A">
        <w:rPr>
          <w:rFonts w:eastAsia="Times New Roman" w:cs="Times New Roman"/>
          <w:b/>
          <w:bCs/>
          <w:kern w:val="0"/>
          <w:sz w:val="22"/>
          <w:szCs w:val="22"/>
          <w:lang w:eastAsia="fr-BE"/>
          <w14:ligatures w14:val="none"/>
        </w:rPr>
        <w:t>grille barémique</w:t>
      </w:r>
      <w:r w:rsidRPr="0020209A">
        <w:rPr>
          <w:rFonts w:eastAsia="Times New Roman" w:cs="Times New Roman"/>
          <w:kern w:val="0"/>
          <w:sz w:val="22"/>
          <w:szCs w:val="22"/>
          <w:lang w:eastAsia="fr-BE"/>
          <w14:ligatures w14:val="none"/>
        </w:rPr>
        <w:t xml:space="preserve"> est augmentée et l’ajout est intégré </w:t>
      </w:r>
      <w:r w:rsidRPr="0020209A">
        <w:rPr>
          <w:rFonts w:eastAsia="Times New Roman" w:cs="Times New Roman"/>
          <w:b/>
          <w:bCs/>
          <w:kern w:val="0"/>
          <w:sz w:val="22"/>
          <w:szCs w:val="22"/>
          <w:lang w:eastAsia="fr-BE"/>
          <w14:ligatures w14:val="none"/>
        </w:rPr>
        <w:t>au brut</w:t>
      </w:r>
      <w:r w:rsidRPr="0020209A">
        <w:rPr>
          <w:rFonts w:eastAsia="Times New Roman" w:cs="Times New Roman"/>
          <w:kern w:val="0"/>
          <w:sz w:val="22"/>
          <w:szCs w:val="22"/>
          <w:lang w:eastAsia="fr-BE"/>
          <w14:ligatures w14:val="none"/>
        </w:rPr>
        <w:t xml:space="preserve">, ce qui permet une prise en compte </w:t>
      </w:r>
      <w:r w:rsidRPr="0020209A">
        <w:rPr>
          <w:rFonts w:eastAsia="Times New Roman" w:cs="Times New Roman"/>
          <w:b/>
          <w:bCs/>
          <w:kern w:val="0"/>
          <w:sz w:val="22"/>
          <w:szCs w:val="22"/>
          <w:lang w:eastAsia="fr-BE"/>
          <w14:ligatures w14:val="none"/>
        </w:rPr>
        <w:t>dans la pension</w:t>
      </w:r>
      <w:r w:rsidRPr="0020209A">
        <w:rPr>
          <w:rFonts w:eastAsia="Times New Roman" w:cs="Times New Roman"/>
          <w:kern w:val="0"/>
          <w:sz w:val="22"/>
          <w:szCs w:val="22"/>
          <w:lang w:eastAsia="fr-BE"/>
          <w14:ligatures w14:val="none"/>
        </w:rPr>
        <w:t xml:space="preserve"> (</w:t>
      </w:r>
      <w:r w:rsidRPr="0020209A">
        <w:rPr>
          <w:rFonts w:eastAsia="Times New Roman" w:cs="Times New Roman"/>
          <w:i/>
          <w:iCs/>
          <w:kern w:val="0"/>
          <w:sz w:val="22"/>
          <w:szCs w:val="22"/>
          <w:lang w:eastAsia="fr-BE"/>
          <w14:ligatures w14:val="none"/>
        </w:rPr>
        <w:t>contrairement à l’ancienne prime de 5 % “bonus direction”</w:t>
      </w:r>
      <w:r w:rsidRPr="0020209A">
        <w:rPr>
          <w:rFonts w:eastAsia="Times New Roman" w:cs="Times New Roman"/>
          <w:kern w:val="0"/>
          <w:sz w:val="22"/>
          <w:szCs w:val="22"/>
          <w:lang w:eastAsia="fr-BE"/>
          <w14:ligatures w14:val="none"/>
        </w:rPr>
        <w:t>).</w:t>
      </w:r>
      <w:r w:rsidRPr="0020209A">
        <w:rPr>
          <w:rFonts w:eastAsia="Times New Roman" w:cs="Times New Roman"/>
          <w:kern w:val="0"/>
          <w:sz w:val="22"/>
          <w:szCs w:val="22"/>
          <w:lang w:eastAsia="fr-BE"/>
          <w14:ligatures w14:val="none"/>
        </w:rPr>
        <w:br/>
        <w:t xml:space="preserve">Les </w:t>
      </w:r>
      <w:r w:rsidRPr="0020209A">
        <w:rPr>
          <w:rFonts w:eastAsia="Times New Roman" w:cs="Times New Roman"/>
          <w:b/>
          <w:bCs/>
          <w:kern w:val="0"/>
          <w:sz w:val="22"/>
          <w:szCs w:val="22"/>
          <w:lang w:eastAsia="fr-BE"/>
          <w14:ligatures w14:val="none"/>
        </w:rPr>
        <w:t>5 jours supplémentaires</w:t>
      </w:r>
      <w:r w:rsidRPr="0020209A">
        <w:rPr>
          <w:rFonts w:eastAsia="Times New Roman" w:cs="Times New Roman"/>
          <w:kern w:val="0"/>
          <w:sz w:val="22"/>
          <w:szCs w:val="22"/>
          <w:lang w:eastAsia="fr-BE"/>
          <w14:ligatures w14:val="none"/>
        </w:rPr>
        <w:t xml:space="preserve"> sont revalorisés à </w:t>
      </w:r>
      <w:r w:rsidRPr="0020209A">
        <w:rPr>
          <w:rFonts w:eastAsia="Times New Roman" w:cs="Times New Roman"/>
          <w:b/>
          <w:bCs/>
          <w:kern w:val="0"/>
          <w:sz w:val="22"/>
          <w:szCs w:val="22"/>
          <w:lang w:eastAsia="fr-BE"/>
          <w14:ligatures w14:val="none"/>
        </w:rPr>
        <w:t>45 €/h</w:t>
      </w:r>
      <w:r w:rsidRPr="0020209A">
        <w:rPr>
          <w:rFonts w:eastAsia="Times New Roman" w:cs="Times New Roman"/>
          <w:kern w:val="0"/>
          <w:sz w:val="22"/>
          <w:szCs w:val="22"/>
          <w:lang w:eastAsia="fr-BE"/>
          <w14:ligatures w14:val="none"/>
        </w:rPr>
        <w:t xml:space="preserve"> pour l’embauche compensatoire. Une </w:t>
      </w:r>
      <w:r w:rsidRPr="0020209A">
        <w:rPr>
          <w:rFonts w:eastAsia="Times New Roman" w:cs="Times New Roman"/>
          <w:b/>
          <w:bCs/>
          <w:kern w:val="0"/>
          <w:sz w:val="22"/>
          <w:szCs w:val="22"/>
          <w:lang w:eastAsia="fr-BE"/>
          <w14:ligatures w14:val="none"/>
        </w:rPr>
        <w:t>enveloppe globale</w:t>
      </w:r>
      <w:r w:rsidRPr="0020209A">
        <w:rPr>
          <w:rFonts w:eastAsia="Times New Roman" w:cs="Times New Roman"/>
          <w:kern w:val="0"/>
          <w:sz w:val="22"/>
          <w:szCs w:val="22"/>
          <w:lang w:eastAsia="fr-BE"/>
          <w14:ligatures w14:val="none"/>
        </w:rPr>
        <w:t xml:space="preserve"> pourra être attribuée via le </w:t>
      </w:r>
      <w:r w:rsidRPr="0020209A">
        <w:rPr>
          <w:rFonts w:eastAsia="Times New Roman" w:cs="Times New Roman"/>
          <w:b/>
          <w:bCs/>
          <w:kern w:val="0"/>
          <w:sz w:val="22"/>
          <w:szCs w:val="22"/>
          <w:lang w:eastAsia="fr-BE"/>
          <w14:ligatures w14:val="none"/>
        </w:rPr>
        <w:t>Fonds BEC</w:t>
      </w:r>
      <w:r w:rsidRPr="0020209A">
        <w:rPr>
          <w:rFonts w:eastAsia="Times New Roman" w:cs="Times New Roman"/>
          <w:kern w:val="0"/>
          <w:sz w:val="22"/>
          <w:szCs w:val="22"/>
          <w:lang w:eastAsia="fr-BE"/>
          <w14:ligatures w14:val="none"/>
        </w:rPr>
        <w:t>.</w:t>
      </w:r>
      <w:r w:rsidR="00F82873">
        <w:rPr>
          <w:rFonts w:eastAsia="Times New Roman" w:cs="Times New Roman"/>
          <w:kern w:val="0"/>
          <w:sz w:val="22"/>
          <w:szCs w:val="22"/>
          <w:lang w:eastAsia="fr-BE"/>
          <w14:ligatures w14:val="none"/>
        </w:rPr>
        <w:t xml:space="preserve"> </w:t>
      </w:r>
      <w:r w:rsidRPr="0020209A">
        <w:rPr>
          <w:rFonts w:ascii="Segoe UI Symbol" w:eastAsia="Times New Roman" w:hAnsi="Segoe UI Symbol" w:cs="Segoe UI Symbol"/>
          <w:kern w:val="0"/>
          <w:sz w:val="22"/>
          <w:szCs w:val="22"/>
          <w:lang w:eastAsia="fr-BE"/>
          <w14:ligatures w14:val="none"/>
        </w:rPr>
        <w:t>⚠</w:t>
      </w:r>
      <w:r w:rsidRPr="0020209A">
        <w:rPr>
          <w:rFonts w:eastAsia="Times New Roman" w:cs="Times New Roman"/>
          <w:kern w:val="0"/>
          <w:sz w:val="22"/>
          <w:szCs w:val="22"/>
          <w:lang w:eastAsia="fr-BE"/>
          <w14:ligatures w14:val="none"/>
        </w:rPr>
        <w:t xml:space="preserve"> Les budgets non utilisés devront être </w:t>
      </w:r>
      <w:r w:rsidRPr="0020209A">
        <w:rPr>
          <w:rFonts w:eastAsia="Times New Roman" w:cs="Times New Roman"/>
          <w:b/>
          <w:bCs/>
          <w:kern w:val="0"/>
          <w:sz w:val="22"/>
          <w:szCs w:val="22"/>
          <w:lang w:eastAsia="fr-BE"/>
          <w14:ligatures w14:val="none"/>
        </w:rPr>
        <w:t>remboursés</w:t>
      </w:r>
      <w:r w:rsidRPr="0020209A">
        <w:rPr>
          <w:rFonts w:eastAsia="Times New Roman" w:cs="Times New Roman"/>
          <w:kern w:val="0"/>
          <w:sz w:val="22"/>
          <w:szCs w:val="22"/>
          <w:lang w:eastAsia="fr-BE"/>
          <w14:ligatures w14:val="none"/>
        </w:rPr>
        <w:t>.</w:t>
      </w:r>
    </w:p>
    <w:p w14:paraId="6BC32F9D" w14:textId="326F5BB5" w:rsidR="0020209A" w:rsidRPr="0020209A" w:rsidRDefault="0020209A" w:rsidP="0020209A">
      <w:pPr>
        <w:spacing w:before="100" w:beforeAutospacing="1" w:after="100" w:afterAutospacing="1" w:line="240" w:lineRule="auto"/>
        <w:rPr>
          <w:rFonts w:eastAsia="Times New Roman" w:cs="Times New Roman"/>
          <w:kern w:val="0"/>
          <w:sz w:val="22"/>
          <w:szCs w:val="22"/>
          <w:lang w:eastAsia="fr-BE"/>
          <w14:ligatures w14:val="none"/>
        </w:rPr>
      </w:pPr>
      <w:r w:rsidRPr="0020209A">
        <w:rPr>
          <w:rFonts w:eastAsia="Times New Roman" w:cs="Times New Roman"/>
          <w:kern w:val="0"/>
          <w:sz w:val="22"/>
          <w:szCs w:val="22"/>
          <w:highlight w:val="yellow"/>
          <w:lang w:eastAsia="fr-BE"/>
          <w14:ligatures w14:val="none"/>
        </w:rPr>
        <w:t xml:space="preserve">La </w:t>
      </w:r>
      <w:r w:rsidRPr="0020209A">
        <w:rPr>
          <w:rFonts w:eastAsia="Times New Roman" w:cs="Times New Roman"/>
          <w:b/>
          <w:bCs/>
          <w:kern w:val="0"/>
          <w:sz w:val="22"/>
          <w:szCs w:val="22"/>
          <w:highlight w:val="yellow"/>
          <w:lang w:eastAsia="fr-BE"/>
          <w14:ligatures w14:val="none"/>
        </w:rPr>
        <w:t>signature politique</w:t>
      </w:r>
      <w:r w:rsidRPr="0020209A">
        <w:rPr>
          <w:rFonts w:eastAsia="Times New Roman" w:cs="Times New Roman"/>
          <w:kern w:val="0"/>
          <w:sz w:val="22"/>
          <w:szCs w:val="22"/>
          <w:highlight w:val="yellow"/>
          <w:lang w:eastAsia="fr-BE"/>
          <w14:ligatures w14:val="none"/>
        </w:rPr>
        <w:t xml:space="preserve"> est espérée pour le </w:t>
      </w:r>
      <w:r w:rsidRPr="0020209A">
        <w:rPr>
          <w:rFonts w:eastAsia="Times New Roman" w:cs="Times New Roman"/>
          <w:b/>
          <w:bCs/>
          <w:kern w:val="0"/>
          <w:sz w:val="22"/>
          <w:szCs w:val="22"/>
          <w:highlight w:val="yellow"/>
          <w:lang w:eastAsia="fr-BE"/>
          <w14:ligatures w14:val="none"/>
        </w:rPr>
        <w:t>24 novembre</w:t>
      </w:r>
      <w:r w:rsidRPr="0020209A">
        <w:rPr>
          <w:rFonts w:eastAsia="Times New Roman" w:cs="Times New Roman"/>
          <w:kern w:val="0"/>
          <w:sz w:val="22"/>
          <w:szCs w:val="22"/>
          <w:highlight w:val="yellow"/>
          <w:lang w:eastAsia="fr-BE"/>
          <w14:ligatures w14:val="none"/>
        </w:rPr>
        <w:t>.</w:t>
      </w:r>
      <w:r w:rsidR="007F28E2" w:rsidRPr="00F82873">
        <w:rPr>
          <w:rFonts w:eastAsia="Times New Roman" w:cs="Times New Roman"/>
          <w:kern w:val="0"/>
          <w:sz w:val="22"/>
          <w:szCs w:val="22"/>
          <w:highlight w:val="yellow"/>
          <w:lang w:eastAsia="fr-BE"/>
          <w14:ligatures w14:val="none"/>
        </w:rPr>
        <w:t xml:space="preserve"> Si ce n’est pas le cas on se dirigera vers une dernière prime exceptionnelle.</w:t>
      </w:r>
      <w:r w:rsidR="007F28E2">
        <w:rPr>
          <w:rFonts w:eastAsia="Times New Roman" w:cs="Times New Roman"/>
          <w:kern w:val="0"/>
          <w:sz w:val="22"/>
          <w:szCs w:val="22"/>
          <w:lang w:eastAsia="fr-BE"/>
          <w14:ligatures w14:val="none"/>
        </w:rPr>
        <w:t xml:space="preserve"> </w:t>
      </w:r>
    </w:p>
    <w:p w14:paraId="5FA0B3B6" w14:textId="77777777" w:rsidR="00FB4793" w:rsidRPr="007F28E2" w:rsidRDefault="00FB4793" w:rsidP="00FB4793">
      <w:pPr>
        <w:pStyle w:val="Paragraphedeliste"/>
        <w:numPr>
          <w:ilvl w:val="0"/>
          <w:numId w:val="8"/>
        </w:numPr>
        <w:spacing w:before="100" w:beforeAutospacing="1" w:after="100" w:afterAutospacing="1" w:line="240" w:lineRule="auto"/>
        <w:outlineLvl w:val="2"/>
        <w:rPr>
          <w:rFonts w:eastAsia="Times New Roman" w:cs="Times New Roman"/>
          <w:b/>
          <w:bCs/>
          <w:kern w:val="0"/>
          <w:lang w:eastAsia="fr-BE"/>
          <w14:ligatures w14:val="none"/>
        </w:rPr>
      </w:pPr>
      <w:r w:rsidRPr="007F28E2">
        <w:rPr>
          <w:rFonts w:eastAsia="Times New Roman" w:cs="Times New Roman"/>
          <w:b/>
          <w:bCs/>
          <w:kern w:val="0"/>
          <w:lang w:eastAsia="fr-BE"/>
          <w14:ligatures w14:val="none"/>
        </w:rPr>
        <w:lastRenderedPageBreak/>
        <w:t>25 ans des Services d’Accompagnement – 16 décembre</w:t>
      </w:r>
    </w:p>
    <w:p w14:paraId="331B2E13" w14:textId="4E18347A" w:rsidR="00FB4793" w:rsidRDefault="00FB4793" w:rsidP="00FB4793">
      <w:pPr>
        <w:spacing w:before="100" w:beforeAutospacing="1" w:after="100" w:afterAutospacing="1" w:line="240" w:lineRule="auto"/>
        <w:rPr>
          <w:sz w:val="22"/>
          <w:szCs w:val="22"/>
        </w:rPr>
      </w:pPr>
      <w:r w:rsidRPr="00FB4793">
        <w:rPr>
          <w:rFonts w:eastAsia="Times New Roman" w:cs="Times New Roman"/>
          <w:kern w:val="0"/>
          <w:sz w:val="22"/>
          <w:szCs w:val="22"/>
          <w:lang w:eastAsia="fr-BE"/>
          <w14:ligatures w14:val="none"/>
        </w:rPr>
        <w:t>L’événement aura lieu à la Salle des Glaces du Parlement bruxellois, mise gratuitement à disposition. Il est décidé de faire quelque chose de plus court et plus festif : la conférence est annulée. On demandera un mot de la COCOF et de Pascale, puis on diffusera la vidéo. La vidéo ne dépassera pas 30 minutes car elle servira aussi de présentation du secteur aux politiques qui ne le connaissent pas. Le reste des images servira à une version longue pour le site. Certains services sont déçus que toutes les identités ne soient pas visibles.</w:t>
      </w:r>
      <w:r w:rsidRPr="007F28E2">
        <w:rPr>
          <w:rFonts w:eastAsia="Times New Roman" w:cs="Times New Roman"/>
          <w:kern w:val="0"/>
          <w:sz w:val="22"/>
          <w:szCs w:val="22"/>
          <w:lang w:eastAsia="fr-BE"/>
          <w14:ligatures w14:val="none"/>
        </w:rPr>
        <w:t xml:space="preserve"> </w:t>
      </w:r>
      <w:r w:rsidRPr="007F28E2">
        <w:rPr>
          <w:sz w:val="22"/>
          <w:szCs w:val="22"/>
        </w:rPr>
        <w:t>Si on projette les trois vidéos (directions, travailleurs, bénéficiaires/familles) de 30 minutes, ce sera trop long. On fera plutôt une petite introduction pour expliquer le choix et préciser que seule la première vidéo sera montrée le jour-même, les autres étant utilisées dans une version longue et pour le site.</w:t>
      </w:r>
    </w:p>
    <w:p w14:paraId="7FA24B7A" w14:textId="64513D19" w:rsidR="00314760" w:rsidRPr="00314760" w:rsidRDefault="00314760" w:rsidP="00FB4793">
      <w:pPr>
        <w:spacing w:before="100" w:beforeAutospacing="1" w:after="100" w:afterAutospacing="1" w:line="240" w:lineRule="auto"/>
        <w:rPr>
          <w:sz w:val="22"/>
          <w:szCs w:val="22"/>
        </w:rPr>
      </w:pPr>
      <w:r w:rsidRPr="00314760">
        <w:rPr>
          <w:sz w:val="22"/>
          <w:szCs w:val="22"/>
        </w:rPr>
        <w:t>On propose d’inviter la presse : Florian et d’autres membres ont des contacts dans différents médias (RTBF). Christelle se charge quant à elle d’inviter CAP48.</w:t>
      </w:r>
    </w:p>
    <w:p w14:paraId="057FB9B7" w14:textId="77777777" w:rsidR="00420CE8" w:rsidRPr="007F28E2" w:rsidRDefault="00420CE8" w:rsidP="00420CE8">
      <w:pPr>
        <w:pStyle w:val="Paragraphedeliste"/>
        <w:numPr>
          <w:ilvl w:val="0"/>
          <w:numId w:val="9"/>
        </w:numPr>
        <w:spacing w:before="100" w:beforeAutospacing="1" w:after="100" w:afterAutospacing="1" w:line="240" w:lineRule="auto"/>
        <w:outlineLvl w:val="2"/>
        <w:rPr>
          <w:rFonts w:eastAsia="Times New Roman" w:cs="Times New Roman"/>
          <w:b/>
          <w:bCs/>
          <w:kern w:val="0"/>
          <w:lang w:eastAsia="fr-BE"/>
          <w14:ligatures w14:val="none"/>
        </w:rPr>
      </w:pPr>
      <w:r w:rsidRPr="007F28E2">
        <w:rPr>
          <w:rFonts w:eastAsia="Times New Roman" w:cs="Times New Roman"/>
          <w:b/>
          <w:bCs/>
          <w:kern w:val="0"/>
          <w:lang w:eastAsia="fr-BE"/>
          <w14:ligatures w14:val="none"/>
        </w:rPr>
        <w:t>Note – Soins de nursing</w:t>
      </w:r>
    </w:p>
    <w:p w14:paraId="194E3668" w14:textId="56B98E86" w:rsidR="00420CE8" w:rsidRPr="007F28E2" w:rsidRDefault="00420CE8" w:rsidP="007F28E2">
      <w:pPr>
        <w:spacing w:before="100" w:beforeAutospacing="1" w:after="100" w:afterAutospacing="1" w:line="240" w:lineRule="auto"/>
        <w:rPr>
          <w:rStyle w:val="lev"/>
          <w:rFonts w:eastAsia="Times New Roman" w:cs="Times New Roman"/>
          <w:b w:val="0"/>
          <w:bCs w:val="0"/>
          <w:kern w:val="0"/>
          <w:sz w:val="22"/>
          <w:szCs w:val="22"/>
          <w:lang w:eastAsia="fr-BE"/>
          <w14:ligatures w14:val="none"/>
        </w:rPr>
      </w:pPr>
      <w:r w:rsidRPr="007F28E2">
        <w:rPr>
          <w:rFonts w:eastAsia="Times New Roman" w:cs="Times New Roman"/>
          <w:kern w:val="0"/>
          <w:sz w:val="22"/>
          <w:szCs w:val="22"/>
          <w:lang w:eastAsia="fr-BE"/>
          <w14:ligatures w14:val="none"/>
        </w:rPr>
        <w:t>Un GT ASAH-BXL a réalisé un rapport sur la législation concernant les soins de nursing. Dans ce cadre, Ingrid a rencontré Madame Maune, qui lui a transmis une note et propose de réunir les différentes fédérations du secteur pour un échange commun.</w:t>
      </w:r>
      <w:r w:rsidRPr="007F28E2">
        <w:rPr>
          <w:rFonts w:eastAsia="Times New Roman" w:cs="Times New Roman"/>
          <w:kern w:val="0"/>
          <w:sz w:val="22"/>
          <w:szCs w:val="22"/>
          <w:lang w:eastAsia="fr-BE"/>
          <w14:ligatures w14:val="none"/>
        </w:rPr>
        <w:br/>
        <w:t>Si une réunion est organisée, des représentants ASAH-BXL devront être désignés. Une première piste serait de solliciter les membres du GT « soins nursing »</w:t>
      </w:r>
      <w:r w:rsidR="00EC4079" w:rsidRPr="007F28E2">
        <w:rPr>
          <w:rFonts w:eastAsia="Times New Roman" w:cs="Times New Roman"/>
          <w:kern w:val="0"/>
          <w:sz w:val="22"/>
          <w:szCs w:val="22"/>
          <w:lang w:eastAsia="fr-BE"/>
          <w14:ligatures w14:val="none"/>
        </w:rPr>
        <w:t xml:space="preserve"> : </w:t>
      </w:r>
      <w:r w:rsidRPr="007F28E2">
        <w:rPr>
          <w:rFonts w:eastAsia="Times New Roman" w:cs="Times New Roman"/>
          <w:kern w:val="0"/>
          <w:sz w:val="22"/>
          <w:szCs w:val="22"/>
          <w:lang w:eastAsia="fr-BE"/>
          <w14:ligatures w14:val="none"/>
        </w:rPr>
        <w:t xml:space="preserve">Ingrid </w:t>
      </w:r>
      <w:r w:rsidR="00EC4079" w:rsidRPr="007F28E2">
        <w:rPr>
          <w:rFonts w:eastAsia="Times New Roman" w:cs="Times New Roman"/>
          <w:kern w:val="0"/>
          <w:sz w:val="22"/>
          <w:szCs w:val="22"/>
          <w:lang w:eastAsia="fr-BE"/>
          <w14:ligatures w14:val="none"/>
        </w:rPr>
        <w:t>(</w:t>
      </w:r>
      <w:r w:rsidRPr="007F28E2">
        <w:rPr>
          <w:rFonts w:eastAsia="Times New Roman" w:cs="Times New Roman"/>
          <w:kern w:val="0"/>
          <w:sz w:val="22"/>
          <w:szCs w:val="22"/>
          <w:lang w:eastAsia="fr-BE"/>
          <w14:ligatures w14:val="none"/>
        </w:rPr>
        <w:t>Tof-Services</w:t>
      </w:r>
      <w:r w:rsidR="00EC4079" w:rsidRPr="007F28E2">
        <w:rPr>
          <w:rFonts w:eastAsia="Times New Roman" w:cs="Times New Roman"/>
          <w:kern w:val="0"/>
          <w:sz w:val="22"/>
          <w:szCs w:val="22"/>
          <w:lang w:eastAsia="fr-BE"/>
          <w14:ligatures w14:val="none"/>
        </w:rPr>
        <w:t>)</w:t>
      </w:r>
      <w:r w:rsidRPr="007F28E2">
        <w:rPr>
          <w:rFonts w:eastAsia="Times New Roman" w:cs="Times New Roman"/>
          <w:kern w:val="0"/>
          <w:sz w:val="22"/>
          <w:szCs w:val="22"/>
          <w:lang w:eastAsia="fr-BE"/>
          <w14:ligatures w14:val="none"/>
        </w:rPr>
        <w:t>, Sophie</w:t>
      </w:r>
      <w:r w:rsidR="00EC4079" w:rsidRPr="007F28E2">
        <w:rPr>
          <w:rFonts w:eastAsia="Times New Roman" w:cs="Times New Roman"/>
          <w:kern w:val="0"/>
          <w:sz w:val="22"/>
          <w:szCs w:val="22"/>
          <w:lang w:eastAsia="fr-BE"/>
          <w14:ligatures w14:val="none"/>
        </w:rPr>
        <w:t>(La Braise)</w:t>
      </w:r>
      <w:r w:rsidRPr="007F28E2">
        <w:rPr>
          <w:rFonts w:eastAsia="Times New Roman" w:cs="Times New Roman"/>
          <w:kern w:val="0"/>
          <w:sz w:val="22"/>
          <w:szCs w:val="22"/>
          <w:lang w:eastAsia="fr-BE"/>
          <w14:ligatures w14:val="none"/>
        </w:rPr>
        <w:t xml:space="preserve">, Marion </w:t>
      </w:r>
      <w:r w:rsidR="00EC4079" w:rsidRPr="007F28E2">
        <w:rPr>
          <w:rFonts w:eastAsia="Times New Roman" w:cs="Times New Roman"/>
          <w:kern w:val="0"/>
          <w:sz w:val="22"/>
          <w:szCs w:val="22"/>
          <w:lang w:eastAsia="fr-BE"/>
          <w14:ligatures w14:val="none"/>
        </w:rPr>
        <w:t>(</w:t>
      </w:r>
      <w:r w:rsidRPr="007F28E2">
        <w:rPr>
          <w:rFonts w:eastAsia="Times New Roman" w:cs="Times New Roman"/>
          <w:kern w:val="0"/>
          <w:sz w:val="22"/>
          <w:szCs w:val="22"/>
          <w:lang w:eastAsia="fr-BE"/>
          <w14:ligatures w14:val="none"/>
        </w:rPr>
        <w:t>Sapham</w:t>
      </w:r>
      <w:r w:rsidR="00EC4079" w:rsidRPr="007F28E2">
        <w:rPr>
          <w:rFonts w:eastAsia="Times New Roman" w:cs="Times New Roman"/>
          <w:kern w:val="0"/>
          <w:sz w:val="22"/>
          <w:szCs w:val="22"/>
          <w:lang w:eastAsia="fr-BE"/>
          <w14:ligatures w14:val="none"/>
        </w:rPr>
        <w:t>)</w:t>
      </w:r>
      <w:r w:rsidRPr="007F28E2">
        <w:rPr>
          <w:rFonts w:eastAsia="Times New Roman" w:cs="Times New Roman"/>
          <w:kern w:val="0"/>
          <w:sz w:val="22"/>
          <w:szCs w:val="22"/>
          <w:lang w:eastAsia="fr-BE"/>
          <w14:ligatures w14:val="none"/>
        </w:rPr>
        <w:t xml:space="preserve">, </w:t>
      </w:r>
      <w:r w:rsidR="00EC4079" w:rsidRPr="007F28E2">
        <w:rPr>
          <w:rFonts w:eastAsia="Times New Roman" w:cs="Times New Roman"/>
          <w:kern w:val="0"/>
          <w:sz w:val="22"/>
          <w:szCs w:val="22"/>
          <w:lang w:eastAsia="fr-BE"/>
          <w14:ligatures w14:val="none"/>
        </w:rPr>
        <w:t>Cécile (</w:t>
      </w:r>
      <w:r w:rsidRPr="007F28E2">
        <w:rPr>
          <w:rFonts w:eastAsia="Times New Roman" w:cs="Times New Roman"/>
          <w:kern w:val="0"/>
          <w:sz w:val="22"/>
          <w:szCs w:val="22"/>
          <w:lang w:eastAsia="fr-BE"/>
          <w14:ligatures w14:val="none"/>
        </w:rPr>
        <w:t>Madras).</w:t>
      </w:r>
    </w:p>
    <w:p w14:paraId="43CA0A9E" w14:textId="77777777" w:rsidR="00420CE8" w:rsidRPr="00420CE8" w:rsidRDefault="00420CE8" w:rsidP="00420CE8">
      <w:pPr>
        <w:pStyle w:val="Paragraphedeliste"/>
        <w:numPr>
          <w:ilvl w:val="0"/>
          <w:numId w:val="9"/>
        </w:numPr>
        <w:rPr>
          <w:b/>
          <w:bCs/>
        </w:rPr>
      </w:pPr>
      <w:r w:rsidRPr="00420CE8">
        <w:rPr>
          <w:b/>
          <w:bCs/>
        </w:rPr>
        <w:t>Support aux situations critiques</w:t>
      </w:r>
    </w:p>
    <w:p w14:paraId="7B39272D" w14:textId="719AB25D" w:rsidR="007F28E2" w:rsidRPr="007F28E2" w:rsidRDefault="00420CE8" w:rsidP="00420CE8">
      <w:pPr>
        <w:rPr>
          <w:sz w:val="22"/>
          <w:szCs w:val="22"/>
        </w:rPr>
      </w:pPr>
      <w:r w:rsidRPr="007F28E2">
        <w:rPr>
          <w:sz w:val="22"/>
          <w:szCs w:val="22"/>
        </w:rPr>
        <w:t>Un projet de courrier, préparé par un GT ASAH-BXL pour légiférer une action spécifique « support aux situations critiques », a été transmis à Pascale, qui l’a ensuite envoyé à M. Marry. Celui-ci demande s’il peut l’adresser au Cabinet actuel. L’ASAH-BXL est d’accord, même si, sans gouvernement, rien ne pourra être signé au niveau budgétaire. On ne perd rien à l’envoyer ; affaire à suivre.</w:t>
      </w:r>
    </w:p>
    <w:p w14:paraId="1BF01BF1" w14:textId="77777777" w:rsidR="007F28E2" w:rsidRPr="007F28E2" w:rsidRDefault="000A4F20" w:rsidP="000A4F20">
      <w:pPr>
        <w:pStyle w:val="Paragraphedeliste"/>
        <w:numPr>
          <w:ilvl w:val="0"/>
          <w:numId w:val="9"/>
        </w:numPr>
        <w:rPr>
          <w:b/>
          <w:bCs/>
        </w:rPr>
      </w:pPr>
      <w:r w:rsidRPr="007F28E2">
        <w:rPr>
          <w:b/>
          <w:bCs/>
        </w:rPr>
        <w:t>Saut d’indexation</w:t>
      </w:r>
    </w:p>
    <w:p w14:paraId="3C39722A" w14:textId="6D561EFF" w:rsidR="000A4F20" w:rsidRPr="007F28E2" w:rsidRDefault="000A4F20" w:rsidP="007F28E2">
      <w:pPr>
        <w:rPr>
          <w:sz w:val="22"/>
          <w:szCs w:val="22"/>
        </w:rPr>
      </w:pPr>
      <w:r w:rsidRPr="007F28E2">
        <w:rPr>
          <w:sz w:val="22"/>
          <w:szCs w:val="22"/>
        </w:rPr>
        <w:t xml:space="preserve">Actuellement, les salaires sont indexés au </w:t>
      </w:r>
      <w:r w:rsidRPr="007F28E2">
        <w:rPr>
          <w:rStyle w:val="lev"/>
          <w:rFonts w:eastAsiaTheme="majorEastAsia"/>
          <w:sz w:val="22"/>
          <w:szCs w:val="22"/>
        </w:rPr>
        <w:t>2</w:t>
      </w:r>
      <w:r w:rsidRPr="007F28E2">
        <w:rPr>
          <w:rStyle w:val="lev"/>
          <w:rFonts w:ascii="Arial" w:eastAsiaTheme="majorEastAsia" w:hAnsi="Arial" w:cs="Arial"/>
          <w:sz w:val="22"/>
          <w:szCs w:val="22"/>
        </w:rPr>
        <w:t>ᵉ</w:t>
      </w:r>
      <w:r w:rsidRPr="007F28E2">
        <w:rPr>
          <w:rStyle w:val="lev"/>
          <w:rFonts w:eastAsiaTheme="majorEastAsia"/>
          <w:sz w:val="22"/>
          <w:szCs w:val="22"/>
        </w:rPr>
        <w:t xml:space="preserve"> mois (M+2)</w:t>
      </w:r>
      <w:r w:rsidRPr="007F28E2">
        <w:rPr>
          <w:sz w:val="22"/>
          <w:szCs w:val="22"/>
        </w:rPr>
        <w:t xml:space="preserve"> après le dépassement de l’indice pivot. La nouvelle loi fédérale décale, elle, l’indexation des subventions publiques au </w:t>
      </w:r>
      <w:r w:rsidRPr="007F28E2">
        <w:rPr>
          <w:rStyle w:val="lev"/>
          <w:rFonts w:eastAsiaTheme="majorEastAsia"/>
          <w:sz w:val="22"/>
          <w:szCs w:val="22"/>
        </w:rPr>
        <w:t>3</w:t>
      </w:r>
      <w:r w:rsidRPr="007F28E2">
        <w:rPr>
          <w:rStyle w:val="lev"/>
          <w:rFonts w:ascii="Arial" w:eastAsiaTheme="majorEastAsia" w:hAnsi="Arial" w:cs="Arial"/>
          <w:sz w:val="22"/>
          <w:szCs w:val="22"/>
        </w:rPr>
        <w:t>ᵉ</w:t>
      </w:r>
      <w:r w:rsidRPr="007F28E2">
        <w:rPr>
          <w:rStyle w:val="lev"/>
          <w:rFonts w:eastAsiaTheme="majorEastAsia"/>
          <w:sz w:val="22"/>
          <w:szCs w:val="22"/>
        </w:rPr>
        <w:t xml:space="preserve"> mois (M+3)</w:t>
      </w:r>
      <w:r w:rsidRPr="007F28E2">
        <w:rPr>
          <w:sz w:val="22"/>
          <w:szCs w:val="22"/>
        </w:rPr>
        <w:t>.</w:t>
      </w:r>
      <w:r w:rsidRPr="007F28E2">
        <w:rPr>
          <w:sz w:val="22"/>
          <w:szCs w:val="22"/>
        </w:rPr>
        <w:br/>
        <w:t xml:space="preserve">Les travailleurs du secteur santé/handicap restent donc indexés à M+2, tandis que les subventions ne suivent qu’à M+3, ce qui oblige les services à </w:t>
      </w:r>
      <w:r w:rsidRPr="007F28E2">
        <w:rPr>
          <w:rStyle w:val="lev"/>
          <w:rFonts w:eastAsiaTheme="majorEastAsia"/>
          <w:sz w:val="22"/>
          <w:szCs w:val="22"/>
        </w:rPr>
        <w:t>financer un mois d’indexation sans remboursement</w:t>
      </w:r>
      <w:r w:rsidRPr="007F28E2">
        <w:rPr>
          <w:sz w:val="22"/>
          <w:szCs w:val="22"/>
        </w:rPr>
        <w:t>.</w:t>
      </w:r>
    </w:p>
    <w:p w14:paraId="08EA0235" w14:textId="21F68581" w:rsidR="000A4F20" w:rsidRPr="007F28E2" w:rsidRDefault="000A4F20" w:rsidP="000A4F20">
      <w:pPr>
        <w:pStyle w:val="NormalWeb"/>
        <w:rPr>
          <w:rFonts w:asciiTheme="minorHAnsi" w:hAnsiTheme="minorHAnsi"/>
          <w:sz w:val="22"/>
          <w:szCs w:val="22"/>
        </w:rPr>
      </w:pPr>
      <w:r w:rsidRPr="007F28E2">
        <w:rPr>
          <w:rFonts w:asciiTheme="minorHAnsi" w:hAnsiTheme="minorHAnsi"/>
          <w:sz w:val="22"/>
          <w:szCs w:val="22"/>
        </w:rPr>
        <w:t>La COCOF n’a pas l’obligation de suivre le fédéral.</w:t>
      </w:r>
      <w:r w:rsidRPr="007F28E2">
        <w:rPr>
          <w:rFonts w:asciiTheme="minorHAnsi" w:hAnsiTheme="minorHAnsi"/>
          <w:sz w:val="22"/>
          <w:szCs w:val="22"/>
        </w:rPr>
        <w:br/>
        <w:t xml:space="preserve">Selon les précisions de l’administration : il est </w:t>
      </w:r>
      <w:r w:rsidRPr="007F28E2">
        <w:rPr>
          <w:rStyle w:val="lev"/>
          <w:rFonts w:asciiTheme="minorHAnsi" w:eastAsiaTheme="majorEastAsia" w:hAnsiTheme="minorHAnsi"/>
          <w:sz w:val="22"/>
          <w:szCs w:val="22"/>
        </w:rPr>
        <w:t>impossible de neutraliser</w:t>
      </w:r>
      <w:r w:rsidRPr="007F28E2">
        <w:rPr>
          <w:rFonts w:asciiTheme="minorHAnsi" w:hAnsiTheme="minorHAnsi"/>
          <w:sz w:val="22"/>
          <w:szCs w:val="22"/>
        </w:rPr>
        <w:t xml:space="preserve"> cette mesure par une règle générale valable pour tous, les dispositifs subsidiés ayant des compositions de personnel trop différentes. Une neutralisation totale impliquerait des corrections en fin de période, avec un </w:t>
      </w:r>
      <w:r w:rsidRPr="007F28E2">
        <w:rPr>
          <w:rStyle w:val="lev"/>
          <w:rFonts w:asciiTheme="minorHAnsi" w:eastAsiaTheme="majorEastAsia" w:hAnsiTheme="minorHAnsi"/>
          <w:sz w:val="22"/>
          <w:szCs w:val="22"/>
        </w:rPr>
        <w:t>risque budgétaire très élevé</w:t>
      </w:r>
      <w:r w:rsidRPr="007F28E2">
        <w:rPr>
          <w:rFonts w:asciiTheme="minorHAnsi" w:hAnsiTheme="minorHAnsi"/>
          <w:sz w:val="22"/>
          <w:szCs w:val="22"/>
        </w:rPr>
        <w:t xml:space="preserve">. L’impact restera </w:t>
      </w:r>
      <w:r w:rsidRPr="007F28E2">
        <w:rPr>
          <w:rStyle w:val="lev"/>
          <w:rFonts w:asciiTheme="minorHAnsi" w:eastAsiaTheme="majorEastAsia" w:hAnsiTheme="minorHAnsi"/>
          <w:sz w:val="22"/>
          <w:szCs w:val="22"/>
        </w:rPr>
        <w:t>modéré et ponctuel</w:t>
      </w:r>
      <w:r w:rsidRPr="007F28E2">
        <w:rPr>
          <w:rFonts w:asciiTheme="minorHAnsi" w:hAnsiTheme="minorHAnsi"/>
          <w:sz w:val="22"/>
          <w:szCs w:val="22"/>
        </w:rPr>
        <w:t xml:space="preserve"> (“one-shot”) lors du premier saut d’index suivant la réforme. L’administration recommande aux partenaires sociaux </w:t>
      </w:r>
      <w:r w:rsidRPr="007F28E2">
        <w:rPr>
          <w:rStyle w:val="lev"/>
          <w:rFonts w:asciiTheme="minorHAnsi" w:eastAsiaTheme="majorEastAsia" w:hAnsiTheme="minorHAnsi"/>
          <w:sz w:val="22"/>
          <w:szCs w:val="22"/>
        </w:rPr>
        <w:t>d’adapter les CCT</w:t>
      </w:r>
      <w:r w:rsidRPr="007F28E2">
        <w:rPr>
          <w:rFonts w:asciiTheme="minorHAnsi" w:hAnsiTheme="minorHAnsi"/>
          <w:sz w:val="22"/>
          <w:szCs w:val="22"/>
        </w:rPr>
        <w:t xml:space="preserve"> pour éviter un décalage durable entre salaires et subventions.</w:t>
      </w:r>
    </w:p>
    <w:p w14:paraId="14635332" w14:textId="77777777" w:rsidR="000A4F20" w:rsidRPr="007F28E2" w:rsidRDefault="000A4F20" w:rsidP="000A4F20">
      <w:pPr>
        <w:pStyle w:val="NormalWeb"/>
        <w:rPr>
          <w:rFonts w:asciiTheme="minorHAnsi" w:hAnsiTheme="minorHAnsi"/>
          <w:sz w:val="22"/>
          <w:szCs w:val="22"/>
        </w:rPr>
      </w:pPr>
      <w:r w:rsidRPr="007F28E2">
        <w:rPr>
          <w:rStyle w:val="lev"/>
          <w:rFonts w:asciiTheme="minorHAnsi" w:eastAsiaTheme="majorEastAsia" w:hAnsiTheme="minorHAnsi"/>
          <w:sz w:val="22"/>
          <w:szCs w:val="22"/>
        </w:rPr>
        <w:lastRenderedPageBreak/>
        <w:t>Conséquence pour les services :</w:t>
      </w:r>
      <w:r w:rsidRPr="007F28E2">
        <w:rPr>
          <w:rFonts w:asciiTheme="minorHAnsi" w:hAnsiTheme="minorHAnsi"/>
          <w:sz w:val="22"/>
          <w:szCs w:val="22"/>
        </w:rPr>
        <w:br/>
        <w:t xml:space="preserve">Les organismes devront absorber ce mois d’écart via leurs </w:t>
      </w:r>
      <w:r w:rsidRPr="007F28E2">
        <w:rPr>
          <w:rStyle w:val="lev"/>
          <w:rFonts w:asciiTheme="minorHAnsi" w:eastAsiaTheme="majorEastAsia" w:hAnsiTheme="minorHAnsi"/>
          <w:sz w:val="22"/>
          <w:szCs w:val="22"/>
        </w:rPr>
        <w:t>frais de fonctionnement</w:t>
      </w:r>
      <w:r w:rsidRPr="007F28E2">
        <w:rPr>
          <w:rFonts w:asciiTheme="minorHAnsi" w:hAnsiTheme="minorHAnsi"/>
          <w:sz w:val="22"/>
          <w:szCs w:val="22"/>
        </w:rPr>
        <w:t xml:space="preserve"> ou </w:t>
      </w:r>
      <w:r w:rsidRPr="007F28E2">
        <w:rPr>
          <w:rStyle w:val="lev"/>
          <w:rFonts w:asciiTheme="minorHAnsi" w:eastAsiaTheme="majorEastAsia" w:hAnsiTheme="minorHAnsi"/>
          <w:sz w:val="22"/>
          <w:szCs w:val="22"/>
        </w:rPr>
        <w:t>fonds propres</w:t>
      </w:r>
      <w:r w:rsidRPr="007F28E2">
        <w:rPr>
          <w:rFonts w:asciiTheme="minorHAnsi" w:hAnsiTheme="minorHAnsi"/>
          <w:sz w:val="22"/>
          <w:szCs w:val="22"/>
        </w:rPr>
        <w:t>, ce qui peut être difficile pour les plus petits services.</w:t>
      </w:r>
    </w:p>
    <w:p w14:paraId="1F28BF62" w14:textId="0EC45E9F" w:rsidR="00F82873" w:rsidRPr="00F82873" w:rsidRDefault="007F28E2" w:rsidP="00F82873">
      <w:pPr>
        <w:pStyle w:val="NormalWeb"/>
        <w:numPr>
          <w:ilvl w:val="0"/>
          <w:numId w:val="9"/>
        </w:numPr>
        <w:rPr>
          <w:rFonts w:asciiTheme="minorHAnsi" w:hAnsiTheme="minorHAnsi"/>
          <w:b/>
          <w:bCs/>
        </w:rPr>
      </w:pPr>
      <w:r w:rsidRPr="007F28E2">
        <w:rPr>
          <w:rFonts w:asciiTheme="minorHAnsi" w:hAnsiTheme="minorHAnsi"/>
          <w:b/>
          <w:bCs/>
        </w:rPr>
        <w:t>Divers</w:t>
      </w:r>
    </w:p>
    <w:p w14:paraId="16C064DF" w14:textId="36BE4874" w:rsidR="00F82873" w:rsidRDefault="00F82873" w:rsidP="007F28E2">
      <w:pPr>
        <w:pStyle w:val="NormalWeb"/>
        <w:numPr>
          <w:ilvl w:val="0"/>
          <w:numId w:val="12"/>
        </w:numPr>
        <w:rPr>
          <w:rFonts w:asciiTheme="minorHAnsi" w:hAnsiTheme="minorHAnsi"/>
          <w:sz w:val="22"/>
          <w:szCs w:val="22"/>
        </w:rPr>
      </w:pPr>
      <w:r>
        <w:rPr>
          <w:rFonts w:asciiTheme="minorHAnsi" w:hAnsiTheme="minorHAnsi"/>
          <w:sz w:val="22"/>
          <w:szCs w:val="22"/>
        </w:rPr>
        <w:t>On accueille Sylvain Gigna, le nouveau directeur du service PUSH</w:t>
      </w:r>
    </w:p>
    <w:p w14:paraId="680936DB" w14:textId="7942E7B8" w:rsidR="007F28E2" w:rsidRPr="007F28E2" w:rsidRDefault="007F28E2" w:rsidP="007F28E2">
      <w:pPr>
        <w:pStyle w:val="NormalWeb"/>
        <w:numPr>
          <w:ilvl w:val="0"/>
          <w:numId w:val="12"/>
        </w:numPr>
        <w:rPr>
          <w:rFonts w:asciiTheme="minorHAnsi" w:hAnsiTheme="minorHAnsi"/>
          <w:sz w:val="22"/>
          <w:szCs w:val="22"/>
        </w:rPr>
      </w:pPr>
      <w:r w:rsidRPr="007F28E2">
        <w:rPr>
          <w:rFonts w:asciiTheme="minorHAnsi" w:hAnsiTheme="minorHAnsi"/>
          <w:sz w:val="22"/>
          <w:szCs w:val="22"/>
        </w:rPr>
        <w:t>Isabelle demande s’il serait possible de réaliser un document de présentation des missions et spécificités de chaque service, à destination des travailleurs.</w:t>
      </w:r>
    </w:p>
    <w:p w14:paraId="1539DA33" w14:textId="77777777" w:rsidR="007F28E2" w:rsidRPr="007F28E2" w:rsidRDefault="007F28E2" w:rsidP="007F28E2">
      <w:pPr>
        <w:pStyle w:val="NormalWeb"/>
        <w:numPr>
          <w:ilvl w:val="0"/>
          <w:numId w:val="12"/>
        </w:numPr>
        <w:rPr>
          <w:rFonts w:asciiTheme="minorHAnsi" w:hAnsiTheme="minorHAnsi"/>
          <w:sz w:val="22"/>
          <w:szCs w:val="22"/>
        </w:rPr>
      </w:pPr>
      <w:r w:rsidRPr="007F28E2">
        <w:rPr>
          <w:rFonts w:asciiTheme="minorHAnsi" w:hAnsiTheme="minorHAnsi"/>
          <w:sz w:val="22"/>
          <w:szCs w:val="22"/>
        </w:rPr>
        <w:t>Le marché de Noël de Riga aura lieu les 20 et 21 décembre (vente de kits d’urgence et de cookies).</w:t>
      </w:r>
    </w:p>
    <w:p w14:paraId="3CF95ECB" w14:textId="77777777" w:rsidR="007F28E2" w:rsidRPr="007F28E2" w:rsidRDefault="007F28E2" w:rsidP="007F28E2">
      <w:pPr>
        <w:pStyle w:val="NormalWeb"/>
        <w:numPr>
          <w:ilvl w:val="0"/>
          <w:numId w:val="12"/>
        </w:numPr>
        <w:rPr>
          <w:rFonts w:asciiTheme="minorHAnsi" w:hAnsiTheme="minorHAnsi"/>
          <w:sz w:val="22"/>
          <w:szCs w:val="22"/>
        </w:rPr>
      </w:pPr>
      <w:r w:rsidRPr="007F28E2">
        <w:rPr>
          <w:rFonts w:asciiTheme="minorHAnsi" w:hAnsiTheme="minorHAnsi"/>
          <w:sz w:val="22"/>
          <w:szCs w:val="22"/>
        </w:rPr>
        <w:t>Christelle signale l’existence d’un budget de formation pour les services travaillant avec les jeunes enfants ; réflexion à prévoir pour 2025.</w:t>
      </w:r>
    </w:p>
    <w:p w14:paraId="4571231C" w14:textId="77777777" w:rsidR="007F28E2" w:rsidRPr="007F28E2" w:rsidRDefault="007F28E2" w:rsidP="007F28E2">
      <w:pPr>
        <w:pStyle w:val="NormalWeb"/>
        <w:numPr>
          <w:ilvl w:val="0"/>
          <w:numId w:val="12"/>
        </w:numPr>
        <w:rPr>
          <w:rFonts w:asciiTheme="minorHAnsi" w:hAnsiTheme="minorHAnsi"/>
          <w:sz w:val="22"/>
          <w:szCs w:val="22"/>
        </w:rPr>
      </w:pPr>
      <w:r w:rsidRPr="007F28E2">
        <w:rPr>
          <w:rFonts w:asciiTheme="minorHAnsi" w:hAnsiTheme="minorHAnsi"/>
          <w:sz w:val="22"/>
          <w:szCs w:val="22"/>
        </w:rPr>
        <w:t>Un appel est lancé pour de nouvelles candidatures au CA.</w:t>
      </w:r>
    </w:p>
    <w:p w14:paraId="3F4118B2" w14:textId="77777777" w:rsidR="007F28E2" w:rsidRDefault="007F28E2" w:rsidP="007F28E2">
      <w:pPr>
        <w:pStyle w:val="NormalWeb"/>
        <w:numPr>
          <w:ilvl w:val="0"/>
          <w:numId w:val="12"/>
        </w:numPr>
        <w:rPr>
          <w:rFonts w:asciiTheme="minorHAnsi" w:hAnsiTheme="minorHAnsi"/>
          <w:sz w:val="22"/>
          <w:szCs w:val="22"/>
        </w:rPr>
      </w:pPr>
      <w:r w:rsidRPr="007F28E2">
        <w:rPr>
          <w:rFonts w:asciiTheme="minorHAnsi" w:hAnsiTheme="minorHAnsi"/>
          <w:sz w:val="22"/>
          <w:szCs w:val="22"/>
        </w:rPr>
        <w:t>Annonce du colloque du Conseil bruxellois des Personnes en situation de Handicap (CPH), prévu le mercredi 3 décembre 2025, de 9h30 à 16h30, au Parlement bruxellois.</w:t>
      </w:r>
    </w:p>
    <w:p w14:paraId="71BBC946" w14:textId="77777777" w:rsidR="00614143" w:rsidRPr="00614143" w:rsidRDefault="00614143" w:rsidP="00614143">
      <w:pPr>
        <w:pStyle w:val="NormalWeb"/>
        <w:rPr>
          <w:rFonts w:asciiTheme="minorHAnsi" w:hAnsiTheme="minorHAnsi"/>
        </w:rPr>
      </w:pPr>
    </w:p>
    <w:p w14:paraId="1B7F2739" w14:textId="758DDE5F" w:rsidR="007F28E2" w:rsidRPr="00614143" w:rsidRDefault="007F28E2" w:rsidP="00614143">
      <w:pPr>
        <w:pStyle w:val="NormalWeb"/>
        <w:numPr>
          <w:ilvl w:val="0"/>
          <w:numId w:val="13"/>
        </w:numPr>
        <w:rPr>
          <w:rFonts w:asciiTheme="minorHAnsi" w:hAnsiTheme="minorHAnsi"/>
          <w:sz w:val="22"/>
          <w:szCs w:val="22"/>
        </w:rPr>
      </w:pPr>
      <w:r w:rsidRPr="00614143">
        <w:rPr>
          <w:rFonts w:asciiTheme="minorHAnsi" w:hAnsiTheme="minorHAnsi"/>
        </w:rPr>
        <w:t>L</w:t>
      </w:r>
      <w:r w:rsidR="00614143" w:rsidRPr="00614143">
        <w:rPr>
          <w:rFonts w:asciiTheme="minorHAnsi" w:hAnsiTheme="minorHAnsi"/>
        </w:rPr>
        <w:t>es</w:t>
      </w:r>
      <w:r w:rsidRPr="00614143">
        <w:rPr>
          <w:rFonts w:asciiTheme="minorHAnsi" w:hAnsiTheme="minorHAnsi"/>
        </w:rPr>
        <w:t xml:space="preserve"> </w:t>
      </w:r>
      <w:r w:rsidRPr="00614143">
        <w:rPr>
          <w:rStyle w:val="lev"/>
          <w:rFonts w:asciiTheme="minorHAnsi" w:eastAsiaTheme="majorEastAsia" w:hAnsiTheme="minorHAnsi"/>
        </w:rPr>
        <w:t>prochaine</w:t>
      </w:r>
      <w:r w:rsidR="00614143" w:rsidRPr="00614143">
        <w:rPr>
          <w:rStyle w:val="lev"/>
          <w:rFonts w:asciiTheme="minorHAnsi" w:eastAsiaTheme="majorEastAsia" w:hAnsiTheme="minorHAnsi"/>
        </w:rPr>
        <w:t>s</w:t>
      </w:r>
      <w:r w:rsidRPr="00614143">
        <w:rPr>
          <w:rStyle w:val="lev"/>
          <w:rFonts w:asciiTheme="minorHAnsi" w:eastAsiaTheme="majorEastAsia" w:hAnsiTheme="minorHAnsi"/>
        </w:rPr>
        <w:t xml:space="preserve"> plénière</w:t>
      </w:r>
      <w:r w:rsidR="00614143" w:rsidRPr="00614143">
        <w:rPr>
          <w:rStyle w:val="lev"/>
          <w:rFonts w:asciiTheme="minorHAnsi" w:eastAsiaTheme="majorEastAsia" w:hAnsiTheme="minorHAnsi"/>
        </w:rPr>
        <w:t>s</w:t>
      </w:r>
      <w:r w:rsidRPr="00614143">
        <w:rPr>
          <w:rStyle w:val="lev"/>
          <w:rFonts w:asciiTheme="minorHAnsi" w:eastAsiaTheme="majorEastAsia" w:hAnsiTheme="minorHAnsi"/>
        </w:rPr>
        <w:t xml:space="preserve"> ASAH-BXL</w:t>
      </w:r>
      <w:r w:rsidR="00614143">
        <w:rPr>
          <w:rFonts w:asciiTheme="minorHAnsi" w:hAnsiTheme="minorHAnsi"/>
          <w:sz w:val="22"/>
          <w:szCs w:val="22"/>
        </w:rPr>
        <w:t xml:space="preserve"> : </w:t>
      </w:r>
      <w:r w:rsidR="00614143">
        <w:rPr>
          <w:rFonts w:asciiTheme="minorHAnsi" w:hAnsiTheme="minorHAnsi"/>
          <w:sz w:val="22"/>
          <w:szCs w:val="22"/>
        </w:rPr>
        <w:br/>
      </w:r>
      <w:r w:rsidR="00614143" w:rsidRPr="00614143">
        <w:rPr>
          <w:rFonts w:asciiTheme="minorHAnsi" w:hAnsiTheme="minorHAnsi"/>
          <w:sz w:val="22"/>
          <w:szCs w:val="22"/>
        </w:rPr>
        <w:t xml:space="preserve">-  </w:t>
      </w:r>
      <w:r w:rsidR="00614143">
        <w:rPr>
          <w:rFonts w:asciiTheme="minorHAnsi" w:hAnsiTheme="minorHAnsi"/>
          <w:sz w:val="22"/>
          <w:szCs w:val="22"/>
        </w:rPr>
        <w:t>Jeudi 11 décembre à 9h30 au service RIGA</w:t>
      </w:r>
      <w:r w:rsidR="00614143">
        <w:rPr>
          <w:rFonts w:asciiTheme="minorHAnsi" w:hAnsiTheme="minorHAnsi"/>
          <w:sz w:val="22"/>
          <w:szCs w:val="22"/>
        </w:rPr>
        <w:br/>
        <w:t xml:space="preserve">- </w:t>
      </w:r>
      <w:r w:rsidRPr="00614143">
        <w:rPr>
          <w:rStyle w:val="lev"/>
          <w:rFonts w:asciiTheme="minorHAnsi" w:eastAsiaTheme="majorEastAsia" w:hAnsiTheme="minorHAnsi"/>
          <w:b w:val="0"/>
          <w:bCs w:val="0"/>
          <w:sz w:val="22"/>
          <w:szCs w:val="22"/>
        </w:rPr>
        <w:t>vendredi 23 janvier à 9h30</w:t>
      </w:r>
      <w:r w:rsidRPr="00614143">
        <w:rPr>
          <w:rFonts w:asciiTheme="minorHAnsi" w:hAnsiTheme="minorHAnsi"/>
          <w:b/>
          <w:bCs/>
          <w:sz w:val="22"/>
          <w:szCs w:val="22"/>
        </w:rPr>
        <w:t>.</w:t>
      </w:r>
    </w:p>
    <w:p w14:paraId="6CFF7570" w14:textId="77777777" w:rsidR="000A4F20" w:rsidRPr="007F28E2" w:rsidRDefault="000A4F20" w:rsidP="007F28E2">
      <w:pPr>
        <w:ind w:left="360"/>
        <w:rPr>
          <w:sz w:val="22"/>
          <w:szCs w:val="22"/>
        </w:rPr>
      </w:pPr>
    </w:p>
    <w:sectPr w:rsidR="000A4F20" w:rsidRPr="007F28E2" w:rsidSect="0081034E">
      <w:headerReference w:type="default" r:id="rId7"/>
      <w:footerReference w:type="default" r:id="rId8"/>
      <w:pgSz w:w="11906" w:h="16838"/>
      <w:pgMar w:top="1417" w:right="1417" w:bottom="1417" w:left="1417"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A0EA" w14:textId="77777777" w:rsidR="00774523" w:rsidRDefault="00774523">
      <w:pPr>
        <w:spacing w:after="0" w:line="240" w:lineRule="auto"/>
      </w:pPr>
      <w:r>
        <w:separator/>
      </w:r>
    </w:p>
  </w:endnote>
  <w:endnote w:type="continuationSeparator" w:id="0">
    <w:p w14:paraId="0C1C9A13" w14:textId="77777777" w:rsidR="00774523" w:rsidRDefault="0077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C968" w14:textId="77777777" w:rsidR="0081034E" w:rsidRDefault="0081034E">
    <w:pPr>
      <w:pStyle w:val="Pieddepage"/>
    </w:pPr>
    <w:r w:rsidRPr="00F87CAD">
      <w:rPr>
        <w:noProof/>
      </w:rPr>
      <w:drawing>
        <wp:inline distT="0" distB="0" distL="0" distR="0" wp14:anchorId="22D043EF" wp14:editId="2ACAE9C3">
          <wp:extent cx="5760720" cy="799465"/>
          <wp:effectExtent l="0" t="0" r="0" b="635"/>
          <wp:docPr id="47934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94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0D78" w14:textId="77777777" w:rsidR="00774523" w:rsidRDefault="00774523">
      <w:pPr>
        <w:spacing w:after="0" w:line="240" w:lineRule="auto"/>
      </w:pPr>
      <w:r>
        <w:separator/>
      </w:r>
    </w:p>
  </w:footnote>
  <w:footnote w:type="continuationSeparator" w:id="0">
    <w:p w14:paraId="131F2E27" w14:textId="77777777" w:rsidR="00774523" w:rsidRDefault="00774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F0CC" w14:textId="77777777" w:rsidR="0081034E" w:rsidRDefault="0081034E">
    <w:pPr>
      <w:pStyle w:val="En-tte"/>
    </w:pPr>
    <w:r>
      <w:rPr>
        <w:noProof/>
      </w:rPr>
      <w:drawing>
        <wp:inline distT="0" distB="0" distL="0" distR="0" wp14:anchorId="04D3ED5B" wp14:editId="51455EC0">
          <wp:extent cx="2057400" cy="1171575"/>
          <wp:effectExtent l="0" t="0" r="0" b="9525"/>
          <wp:docPr id="1950111724" name="Image 1" descr="Une image contenant Police, ligne, Graphiqu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11724" name="Image 1" descr="Une image contenant Police, ligne, Graphique, diagram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1.25pt;height:11.25pt" o:bullet="t">
        <v:imagedata r:id="rId1" o:title="msoC262"/>
      </v:shape>
    </w:pict>
  </w:numPicBullet>
  <w:numPicBullet w:numPicBulletId="1">
    <w:pict>
      <v:shape id="_x0000_i1167" type="#_x0000_t75" style="width:11.25pt;height:11.25pt" o:bullet="t">
        <v:imagedata r:id="rId2" o:title="mso2129"/>
      </v:shape>
    </w:pict>
  </w:numPicBullet>
  <w:abstractNum w:abstractNumId="0" w15:restartNumberingAfterBreak="0">
    <w:nsid w:val="89B42E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5563"/>
    <w:multiLevelType w:val="multilevel"/>
    <w:tmpl w:val="DBC467D4"/>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323DC"/>
    <w:multiLevelType w:val="multilevel"/>
    <w:tmpl w:val="DBC467D4"/>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F4D49"/>
    <w:multiLevelType w:val="multilevel"/>
    <w:tmpl w:val="DBC467D4"/>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874C1"/>
    <w:multiLevelType w:val="hybridMultilevel"/>
    <w:tmpl w:val="A83A4B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6944ED8"/>
    <w:multiLevelType w:val="hybridMultilevel"/>
    <w:tmpl w:val="D582755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A067A43"/>
    <w:multiLevelType w:val="hybridMultilevel"/>
    <w:tmpl w:val="592E8C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7F931DF"/>
    <w:multiLevelType w:val="multilevel"/>
    <w:tmpl w:val="EE3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9238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9F5893"/>
    <w:multiLevelType w:val="hybridMultilevel"/>
    <w:tmpl w:val="1EB4251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A574C23"/>
    <w:multiLevelType w:val="multilevel"/>
    <w:tmpl w:val="BB92508C"/>
    <w:lvl w:ilvl="0">
      <w:start w:val="11"/>
      <w:numFmt w:val="bullet"/>
      <w:lvlText w:val="-"/>
      <w:lvlPicBulletId w:val="0"/>
      <w:lvlJc w:val="left"/>
      <w:pPr>
        <w:tabs>
          <w:tab w:val="num" w:pos="720"/>
        </w:tabs>
        <w:ind w:left="720" w:hanging="360"/>
      </w:pPr>
      <w:rPr>
        <w:rFonts w:ascii="Calibri" w:eastAsia="Times New Roman"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2B1E5D"/>
    <w:multiLevelType w:val="hybridMultilevel"/>
    <w:tmpl w:val="912E1CC2"/>
    <w:lvl w:ilvl="0" w:tplc="080C0007">
      <w:start w:val="1"/>
      <w:numFmt w:val="bullet"/>
      <w:lvlText w:val=""/>
      <w:lvlPicBulletId w:val="1"/>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F736B84"/>
    <w:multiLevelType w:val="multilevel"/>
    <w:tmpl w:val="DBC467D4"/>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5748911">
    <w:abstractNumId w:val="1"/>
  </w:num>
  <w:num w:numId="2" w16cid:durableId="570042806">
    <w:abstractNumId w:val="3"/>
  </w:num>
  <w:num w:numId="3" w16cid:durableId="1725173759">
    <w:abstractNumId w:val="12"/>
  </w:num>
  <w:num w:numId="4" w16cid:durableId="455948884">
    <w:abstractNumId w:val="10"/>
  </w:num>
  <w:num w:numId="5" w16cid:durableId="1013846721">
    <w:abstractNumId w:val="8"/>
  </w:num>
  <w:num w:numId="6" w16cid:durableId="420764446">
    <w:abstractNumId w:val="0"/>
  </w:num>
  <w:num w:numId="7" w16cid:durableId="1238437682">
    <w:abstractNumId w:val="7"/>
  </w:num>
  <w:num w:numId="8" w16cid:durableId="1133408039">
    <w:abstractNumId w:val="2"/>
  </w:num>
  <w:num w:numId="9" w16cid:durableId="1440175065">
    <w:abstractNumId w:val="9"/>
  </w:num>
  <w:num w:numId="10" w16cid:durableId="1737583283">
    <w:abstractNumId w:val="4"/>
  </w:num>
  <w:num w:numId="11" w16cid:durableId="1255935511">
    <w:abstractNumId w:val="6"/>
  </w:num>
  <w:num w:numId="12" w16cid:durableId="685208128">
    <w:abstractNumId w:val="5"/>
  </w:num>
  <w:num w:numId="13" w16cid:durableId="720976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4E"/>
    <w:rsid w:val="000A4F20"/>
    <w:rsid w:val="001F1BE9"/>
    <w:rsid w:val="0020209A"/>
    <w:rsid w:val="00314760"/>
    <w:rsid w:val="00420CE8"/>
    <w:rsid w:val="00614143"/>
    <w:rsid w:val="00774523"/>
    <w:rsid w:val="007F28E2"/>
    <w:rsid w:val="0081034E"/>
    <w:rsid w:val="009C59D9"/>
    <w:rsid w:val="00EC4079"/>
    <w:rsid w:val="00F82873"/>
    <w:rsid w:val="00FB479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8B55"/>
  <w15:chartTrackingRefBased/>
  <w15:docId w15:val="{5051625F-F2CF-457D-A373-7835C7F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4E"/>
  </w:style>
  <w:style w:type="paragraph" w:styleId="Titre1">
    <w:name w:val="heading 1"/>
    <w:basedOn w:val="Normal"/>
    <w:next w:val="Normal"/>
    <w:link w:val="Titre1Car"/>
    <w:uiPriority w:val="9"/>
    <w:qFormat/>
    <w:rsid w:val="00810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0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103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03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03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03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03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03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03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03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03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103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03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03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03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03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03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034E"/>
    <w:rPr>
      <w:rFonts w:eastAsiaTheme="majorEastAsia" w:cstheme="majorBidi"/>
      <w:color w:val="272727" w:themeColor="text1" w:themeTint="D8"/>
    </w:rPr>
  </w:style>
  <w:style w:type="paragraph" w:styleId="Titre">
    <w:name w:val="Title"/>
    <w:basedOn w:val="Normal"/>
    <w:next w:val="Normal"/>
    <w:link w:val="TitreCar"/>
    <w:uiPriority w:val="10"/>
    <w:qFormat/>
    <w:rsid w:val="00810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03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03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03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034E"/>
    <w:pPr>
      <w:spacing w:before="160"/>
      <w:jc w:val="center"/>
    </w:pPr>
    <w:rPr>
      <w:i/>
      <w:iCs/>
      <w:color w:val="404040" w:themeColor="text1" w:themeTint="BF"/>
    </w:rPr>
  </w:style>
  <w:style w:type="character" w:customStyle="1" w:styleId="CitationCar">
    <w:name w:val="Citation Car"/>
    <w:basedOn w:val="Policepardfaut"/>
    <w:link w:val="Citation"/>
    <w:uiPriority w:val="29"/>
    <w:rsid w:val="0081034E"/>
    <w:rPr>
      <w:i/>
      <w:iCs/>
      <w:color w:val="404040" w:themeColor="text1" w:themeTint="BF"/>
    </w:rPr>
  </w:style>
  <w:style w:type="paragraph" w:styleId="Paragraphedeliste">
    <w:name w:val="List Paragraph"/>
    <w:basedOn w:val="Normal"/>
    <w:uiPriority w:val="34"/>
    <w:qFormat/>
    <w:rsid w:val="0081034E"/>
    <w:pPr>
      <w:ind w:left="720"/>
      <w:contextualSpacing/>
    </w:pPr>
  </w:style>
  <w:style w:type="character" w:styleId="Accentuationintense">
    <w:name w:val="Intense Emphasis"/>
    <w:basedOn w:val="Policepardfaut"/>
    <w:uiPriority w:val="21"/>
    <w:qFormat/>
    <w:rsid w:val="0081034E"/>
    <w:rPr>
      <w:i/>
      <w:iCs/>
      <w:color w:val="0F4761" w:themeColor="accent1" w:themeShade="BF"/>
    </w:rPr>
  </w:style>
  <w:style w:type="paragraph" w:styleId="Citationintense">
    <w:name w:val="Intense Quote"/>
    <w:basedOn w:val="Normal"/>
    <w:next w:val="Normal"/>
    <w:link w:val="CitationintenseCar"/>
    <w:uiPriority w:val="30"/>
    <w:qFormat/>
    <w:rsid w:val="00810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034E"/>
    <w:rPr>
      <w:i/>
      <w:iCs/>
      <w:color w:val="0F4761" w:themeColor="accent1" w:themeShade="BF"/>
    </w:rPr>
  </w:style>
  <w:style w:type="character" w:styleId="Rfrenceintense">
    <w:name w:val="Intense Reference"/>
    <w:basedOn w:val="Policepardfaut"/>
    <w:uiPriority w:val="32"/>
    <w:qFormat/>
    <w:rsid w:val="0081034E"/>
    <w:rPr>
      <w:b/>
      <w:bCs/>
      <w:smallCaps/>
      <w:color w:val="0F4761" w:themeColor="accent1" w:themeShade="BF"/>
      <w:spacing w:val="5"/>
    </w:rPr>
  </w:style>
  <w:style w:type="paragraph" w:styleId="NormalWeb">
    <w:name w:val="Normal (Web)"/>
    <w:basedOn w:val="Normal"/>
    <w:uiPriority w:val="99"/>
    <w:unhideWhenUsed/>
    <w:rsid w:val="0081034E"/>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styleId="lev">
    <w:name w:val="Strong"/>
    <w:basedOn w:val="Policepardfaut"/>
    <w:uiPriority w:val="22"/>
    <w:qFormat/>
    <w:rsid w:val="0081034E"/>
    <w:rPr>
      <w:b/>
      <w:bCs/>
    </w:rPr>
  </w:style>
  <w:style w:type="paragraph" w:styleId="En-tte">
    <w:name w:val="header"/>
    <w:basedOn w:val="Normal"/>
    <w:link w:val="En-tteCar"/>
    <w:uiPriority w:val="99"/>
    <w:unhideWhenUsed/>
    <w:rsid w:val="0081034E"/>
    <w:pPr>
      <w:tabs>
        <w:tab w:val="center" w:pos="4536"/>
        <w:tab w:val="right" w:pos="9072"/>
      </w:tabs>
      <w:spacing w:after="0" w:line="240" w:lineRule="auto"/>
    </w:pPr>
  </w:style>
  <w:style w:type="character" w:customStyle="1" w:styleId="En-tteCar">
    <w:name w:val="En-tête Car"/>
    <w:basedOn w:val="Policepardfaut"/>
    <w:link w:val="En-tte"/>
    <w:uiPriority w:val="99"/>
    <w:rsid w:val="0081034E"/>
  </w:style>
  <w:style w:type="paragraph" w:styleId="Pieddepage">
    <w:name w:val="footer"/>
    <w:basedOn w:val="Normal"/>
    <w:link w:val="PieddepageCar"/>
    <w:uiPriority w:val="99"/>
    <w:unhideWhenUsed/>
    <w:rsid w:val="00810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034E"/>
  </w:style>
  <w:style w:type="paragraph" w:styleId="Sansinterligne">
    <w:name w:val="No Spacing"/>
    <w:uiPriority w:val="1"/>
    <w:qFormat/>
    <w:rsid w:val="0081034E"/>
    <w:pPr>
      <w:spacing w:after="0" w:line="240" w:lineRule="auto"/>
    </w:pPr>
  </w:style>
  <w:style w:type="paragraph" w:customStyle="1" w:styleId="Default">
    <w:name w:val="Default"/>
    <w:rsid w:val="0081034E"/>
    <w:pPr>
      <w:autoSpaceDE w:val="0"/>
      <w:autoSpaceDN w:val="0"/>
      <w:adjustRightInd w:val="0"/>
      <w:spacing w:after="0" w:line="240" w:lineRule="auto"/>
    </w:pPr>
    <w:rPr>
      <w:rFonts w:ascii="Calibri" w:hAnsi="Calibri" w:cs="Calibri"/>
      <w:color w:val="000000"/>
      <w:kern w:val="0"/>
    </w:rPr>
  </w:style>
  <w:style w:type="character" w:styleId="Accentuation">
    <w:name w:val="Emphasis"/>
    <w:basedOn w:val="Policepardfaut"/>
    <w:uiPriority w:val="20"/>
    <w:qFormat/>
    <w:rsid w:val="002020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957</Words>
  <Characters>5267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Isis Paquet</dc:creator>
  <cp:keywords/>
  <dc:description/>
  <cp:lastModifiedBy>Olivia Isis Paquet</cp:lastModifiedBy>
  <cp:revision>2</cp:revision>
  <dcterms:created xsi:type="dcterms:W3CDTF">2025-11-28T10:45:00Z</dcterms:created>
  <dcterms:modified xsi:type="dcterms:W3CDTF">2025-11-28T15:02:00Z</dcterms:modified>
</cp:coreProperties>
</file>