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0B4" w14:textId="77777777" w:rsidR="00E055BC" w:rsidRDefault="00E055BC" w:rsidP="00EA3FE5">
      <w:pPr>
        <w:pStyle w:val="Sansinterligne"/>
        <w:rPr>
          <w:lang w:val="fr-FR"/>
        </w:rPr>
      </w:pPr>
    </w:p>
    <w:p w14:paraId="53DC756E" w14:textId="77777777" w:rsidR="00E055BC" w:rsidRPr="008505FC" w:rsidRDefault="00E055BC" w:rsidP="00EA3FE5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:lang w:val="fr-FR" w:eastAsia="fr-FR"/>
          <w14:ligatures w14:val="none"/>
        </w:rPr>
      </w:pPr>
      <w:r w:rsidRPr="008505FC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:lang w:val="fr-FR" w:eastAsia="fr-FR"/>
          <w14:ligatures w14:val="none"/>
        </w:rPr>
        <w:t>PV réunion plénière ASAH-BXL</w:t>
      </w:r>
    </w:p>
    <w:p w14:paraId="4B91E988" w14:textId="352FBCB3" w:rsidR="00E055BC" w:rsidRPr="008505FC" w:rsidRDefault="00E055BC" w:rsidP="00EA3FE5">
      <w:pPr>
        <w:pStyle w:val="Sansinterligne"/>
        <w:jc w:val="center"/>
        <w:rPr>
          <w:rStyle w:val="Rfrenceintens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:lang w:val="fr-FR" w:eastAsia="fr-FR"/>
          <w14:ligatures w14:val="none"/>
        </w:rPr>
        <w:t>10 mars</w:t>
      </w:r>
      <w:r w:rsidRPr="008505FC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:lang w:val="fr-FR" w:eastAsia="fr-FR"/>
          <w14:ligatures w14:val="none"/>
        </w:rPr>
        <w:t xml:space="preserve"> 2025</w:t>
      </w:r>
    </w:p>
    <w:p w14:paraId="37B8E7D0" w14:textId="77777777" w:rsidR="00E055BC" w:rsidRPr="008505FC" w:rsidRDefault="00E055BC" w:rsidP="00EA3FE5">
      <w:pPr>
        <w:pStyle w:val="Sansinterligne"/>
        <w:rPr>
          <w:rFonts w:ascii="Aptos" w:eastAsia="Aptos" w:hAnsi="Aptos" w:cs="Times New Roman"/>
          <w:kern w:val="0"/>
          <w:sz w:val="22"/>
          <w:szCs w:val="22"/>
          <w:lang w:val="fr-FR"/>
          <w14:ligatures w14:val="none"/>
        </w:rPr>
      </w:pPr>
    </w:p>
    <w:p w14:paraId="4BA1F57F" w14:textId="77777777" w:rsidR="00E055BC" w:rsidRPr="008505FC" w:rsidRDefault="00E055BC" w:rsidP="00EA3FE5">
      <w:pPr>
        <w:pStyle w:val="Sansinterligne"/>
        <w:rPr>
          <w:rFonts w:ascii="Aptos" w:eastAsia="Aptos" w:hAnsi="Aptos" w:cs="Times New Roman"/>
          <w:kern w:val="0"/>
          <w:sz w:val="22"/>
          <w:szCs w:val="22"/>
          <w:lang w:val="fr-FR"/>
          <w14:ligatures w14:val="none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567"/>
        <w:gridCol w:w="2126"/>
        <w:gridCol w:w="2268"/>
        <w:gridCol w:w="679"/>
      </w:tblGrid>
      <w:tr w:rsidR="00E055BC" w:rsidRPr="008505FC" w14:paraId="2A129DA1" w14:textId="77777777" w:rsidTr="00446202">
        <w:trPr>
          <w:trHeight w:val="3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E84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794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B36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38E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EE0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3CC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</w:tr>
      <w:tr w:rsidR="00E055BC" w:rsidRPr="008505FC" w14:paraId="334A61FE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E775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Bataclan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F4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Anne-France Peyskens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E8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0D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DD0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Pascale Carrier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809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7EA90AB8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17E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Famisol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CF7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Cécile Walot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3D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0E0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4.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Sisahm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2078" w14:textId="038F4F4B" w:rsidR="00E055BC" w:rsidRPr="008505FC" w:rsidRDefault="00D25FD9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lang w:val="fr-FR"/>
              </w:rPr>
              <w:t>Lecocq Katia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68D8" w14:textId="3CA90C16" w:rsidR="00E055BC" w:rsidRPr="008505FC" w:rsidRDefault="00D25FD9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3D4EBC1B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3665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Push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9CC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Philippe Bossaert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13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26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6.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Susa-Bruxelles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E65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Christelle Ninforge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6CC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E055BC" w:rsidRPr="008505FC" w14:paraId="6E7CF5DB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42A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Braise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64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Ariel Dutrieux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1E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7F6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8.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Cap Idéal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12A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Elodie Cattoor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326B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E055BC" w:rsidRPr="008505FC" w14:paraId="5CD79FB2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BB3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9.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Les Pilifs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D3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Nabih Abboud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FD2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BBA2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10.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Triangle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FB3D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Marina Braco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0E4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760A0850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AB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11.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Vague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97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Béatrice David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1E6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765D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Saphir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ADE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Isabelle de Ranter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EBF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70451D1A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D2C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L'Escale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3352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Muriel Brunneval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9859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53B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14.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Les Tofs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74F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Ingrid Leruth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E745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40FF6418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62E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Ligue Braille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C6E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Sophie Arschoot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CA1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B8CB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16.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Info-sourds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F9B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 xml:space="preserve">Pascale van der Belen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F31C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>E</w:t>
            </w:r>
          </w:p>
        </w:tc>
      </w:tr>
      <w:tr w:rsidR="00E055BC" w:rsidRPr="008505FC" w14:paraId="4FFBABDC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CE4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Eqla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404E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Claire Heurckmans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A0E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946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18.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Emergence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997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Mathilde Aït Issad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B6E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E055BC" w:rsidRPr="008505FC" w14:paraId="0226E8D8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F0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19.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Réci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61F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Claire Dosin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435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CE0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20.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Transition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0AE1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Morgane Harms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FA6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E055BC" w:rsidRPr="008505FC" w14:paraId="0C0B9491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492A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21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.Ricochet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878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Elise Florent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456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583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22.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Madras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A50D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Cécile Javaux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954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53C9DD08" w14:textId="77777777" w:rsidTr="004462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9C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23.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E252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Cédric Raskin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64BF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7B9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24.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Vivre et grandir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981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Isaure de la Brunetière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2B7B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E055BC" w:rsidRPr="008505FC" w14:paraId="28E4226A" w14:textId="77777777" w:rsidTr="00446202">
        <w:trPr>
          <w:trHeight w:val="33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6376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25.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Riga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A6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Benoît Gérard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94D6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8C70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26.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Trait d’Union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9575" w14:textId="6462F0AB" w:rsidR="00E055BC" w:rsidRPr="008505FC" w:rsidRDefault="003C76D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6B24" w14:textId="42B7B679" w:rsidR="00E055BC" w:rsidRPr="008505FC" w:rsidRDefault="003C76D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-</w:t>
            </w:r>
          </w:p>
        </w:tc>
      </w:tr>
      <w:tr w:rsidR="00E055BC" w:rsidRPr="008505FC" w14:paraId="4A0EAE12" w14:textId="77777777" w:rsidTr="00446202">
        <w:trPr>
          <w:trHeight w:val="33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0A48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27.</w:t>
            </w:r>
            <w:r w:rsidRPr="008505F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Uccle St-Job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5AD4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Angèle Albert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355B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C2B2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28.</w:t>
            </w:r>
            <w:r w:rsidRPr="008505FC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Dynam’autes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9F3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8505FC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Florian Bernard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ED77" w14:textId="77777777" w:rsidR="00E055BC" w:rsidRPr="008505FC" w:rsidRDefault="00E055BC" w:rsidP="00EA3FE5">
            <w:pPr>
              <w:pStyle w:val="Sansinterligne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</w:tbl>
    <w:p w14:paraId="73C92E1E" w14:textId="36A49E8A" w:rsidR="00EA3FE5" w:rsidRPr="003C76DC" w:rsidRDefault="003C76DC" w:rsidP="00EA3FE5">
      <w:pPr>
        <w:pStyle w:val="Sansinterlig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Secrétaire de réunion : Olivia Pâquet</w:t>
      </w:r>
    </w:p>
    <w:p w14:paraId="75ED8ACE" w14:textId="77777777" w:rsidR="00EA3FE5" w:rsidRPr="00EA3FE5" w:rsidRDefault="00EA3FE5" w:rsidP="00EA3FE5">
      <w:pPr>
        <w:pStyle w:val="Sansinterligne"/>
        <w:ind w:left="720"/>
      </w:pPr>
    </w:p>
    <w:p w14:paraId="1B97DFCA" w14:textId="0708C155" w:rsidR="00EA3FE5" w:rsidRPr="00EA3FE5" w:rsidRDefault="00EA3FE5" w:rsidP="00C5741E">
      <w:pPr>
        <w:pStyle w:val="Sansinterligne"/>
        <w:numPr>
          <w:ilvl w:val="0"/>
          <w:numId w:val="9"/>
        </w:numPr>
        <w:jc w:val="both"/>
      </w:pPr>
      <w:r w:rsidRPr="00EA3FE5">
        <w:rPr>
          <w:b/>
          <w:bCs/>
        </w:rPr>
        <w:t>Mise en œuvre ANM 2021-2024 : suivi</w:t>
      </w:r>
    </w:p>
    <w:p w14:paraId="2C70F92A" w14:textId="5B9BA106" w:rsidR="00EA3FE5" w:rsidRPr="003C76DC" w:rsidRDefault="00EA3FE5" w:rsidP="00C5741E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 w:rsidRPr="003C76DC">
        <w:rPr>
          <w:b/>
          <w:bCs/>
        </w:rPr>
        <w:t>Le groupe de travail paritaire 319.00-319.02 a envoyé un courrier d’interpellation :</w:t>
      </w:r>
    </w:p>
    <w:p w14:paraId="05137D41" w14:textId="5EA58F3E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La COCOM a effectué le chiffrage pour la revalorisation des directions, mais pas pour l’embauche compensatoire, jugée difficilement mesurable.</w:t>
      </w:r>
    </w:p>
    <w:p w14:paraId="57B8D48B" w14:textId="57840B4B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La COCOF n’a entrepris aucune action faute d’une note verte.</w:t>
      </w:r>
    </w:p>
    <w:p w14:paraId="68BEBF98" w14:textId="377F9D76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Le président de la SCP 319.02 a lancé un sondage pour organiser un GT paritaire, car il est urgent de trouver un accord avant que le futur gouvernement ne supprime ce budget faute d’utilisation.</w:t>
      </w:r>
    </w:p>
    <w:p w14:paraId="78C92805" w14:textId="43856B1C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Une prime n’est plus envisageable à ce stade.</w:t>
      </w:r>
    </w:p>
    <w:p w14:paraId="5811470B" w14:textId="033CE6C4" w:rsidR="00EA3FE5" w:rsidRDefault="00CF5B22" w:rsidP="00C5741E">
      <w:pPr>
        <w:pStyle w:val="Sansinterligne"/>
        <w:numPr>
          <w:ilvl w:val="0"/>
          <w:numId w:val="11"/>
        </w:numPr>
        <w:jc w:val="both"/>
      </w:pPr>
      <w:r>
        <w:t xml:space="preserve">ACSEH </w:t>
      </w:r>
      <w:r w:rsidR="00EA3FE5" w:rsidRPr="00EA3FE5">
        <w:t>propose de calculer une augmentation de 5% pour les directions et de 2% pour tous les travailleurs afin de voir si cela rentre dans le budget.</w:t>
      </w:r>
    </w:p>
    <w:p w14:paraId="29DF5B52" w14:textId="77777777" w:rsidR="00EA3FE5" w:rsidRPr="00EA3FE5" w:rsidRDefault="00EA3FE5" w:rsidP="00C5741E">
      <w:pPr>
        <w:pStyle w:val="Sansinterligne"/>
        <w:numPr>
          <w:ilvl w:val="0"/>
          <w:numId w:val="10"/>
        </w:numPr>
        <w:jc w:val="both"/>
      </w:pPr>
      <w:r w:rsidRPr="00EA3FE5">
        <w:rPr>
          <w:b/>
          <w:bCs/>
        </w:rPr>
        <w:t>Point de discussion :</w:t>
      </w:r>
    </w:p>
    <w:p w14:paraId="78BF28F6" w14:textId="1F5A9644" w:rsidR="00EA3FE5" w:rsidRPr="00EA3FE5" w:rsidRDefault="00EA3FE5" w:rsidP="00C5741E">
      <w:pPr>
        <w:pStyle w:val="Sansinterligne"/>
        <w:jc w:val="both"/>
      </w:pPr>
      <w:r>
        <w:t>Pascale C : on remarque que l</w:t>
      </w:r>
      <w:r w:rsidRPr="00EA3FE5">
        <w:t>es syndicats refusent toute mesure si rien n’est accordé aux éducateurs.</w:t>
      </w:r>
    </w:p>
    <w:p w14:paraId="58934CD8" w14:textId="77777777" w:rsidR="00EA3FE5" w:rsidRPr="00EA3FE5" w:rsidRDefault="00EA3FE5" w:rsidP="00C5741E">
      <w:pPr>
        <w:pStyle w:val="Sansinterligne"/>
        <w:jc w:val="both"/>
      </w:pPr>
      <w:r w:rsidRPr="00EA3FE5">
        <w:t>Quelles modifications sont nécessaires au niveau du décret pour augmenter les salaires des éducateurs ?</w:t>
      </w:r>
    </w:p>
    <w:p w14:paraId="38E028BD" w14:textId="7E757D22" w:rsidR="00EA3FE5" w:rsidRPr="00E726D5" w:rsidRDefault="00EA3FE5" w:rsidP="00C5741E">
      <w:pPr>
        <w:pStyle w:val="Sansinterligne"/>
        <w:jc w:val="both"/>
      </w:pPr>
      <w:r w:rsidRPr="00EA3FE5">
        <w:t xml:space="preserve">Les tripartites sont devenues bipartites </w:t>
      </w:r>
      <w:r w:rsidR="00CF5B22">
        <w:t xml:space="preserve">avec des conciliabules préalables entre le cabinet </w:t>
      </w:r>
      <w:r w:rsidRPr="00EA3FE5">
        <w:t xml:space="preserve">Vervoort </w:t>
      </w:r>
      <w:r w:rsidR="00CF5B22">
        <w:t>et les syndicats, d’abord, puis avec une quasi absence du cabinet pendant les négociations en commission paritaire en OP et OS.</w:t>
      </w:r>
    </w:p>
    <w:p w14:paraId="2EB87676" w14:textId="00D39EAF" w:rsidR="00EA3FE5" w:rsidRDefault="00EA3FE5" w:rsidP="00C5741E">
      <w:pPr>
        <w:pStyle w:val="Sansinterligne"/>
        <w:tabs>
          <w:tab w:val="left" w:pos="7335"/>
        </w:tabs>
        <w:jc w:val="both"/>
      </w:pPr>
      <w:r w:rsidRPr="00EA3FE5">
        <w:t>Q</w:t>
      </w:r>
      <w:r w:rsidR="00E726D5">
        <w:t>u</w:t>
      </w:r>
      <w:r w:rsidR="00CF5B22">
        <w:t>el ministre</w:t>
      </w:r>
      <w:r w:rsidRPr="00EA3FE5">
        <w:t xml:space="preserve"> signera l’accord ? Tout dépendra de la vitesse des négociations</w:t>
      </w:r>
      <w:r w:rsidR="00CF5B22">
        <w:t>…</w:t>
      </w:r>
      <w:r w:rsidR="00CF5B22">
        <w:tab/>
      </w:r>
    </w:p>
    <w:p w14:paraId="7C632880" w14:textId="086E94F2" w:rsidR="00E726D5" w:rsidRDefault="00E726D5" w:rsidP="00C5741E">
      <w:pPr>
        <w:pStyle w:val="Sansinterligne"/>
        <w:jc w:val="both"/>
      </w:pPr>
      <w:r>
        <w:lastRenderedPageBreak/>
        <w:t>Accords initiaux : augmentation barémique des fonction critiques (assistants administratifs, ouvrier, puéricultrice et directions)</w:t>
      </w:r>
      <w:r w:rsidR="00CF5B22">
        <w:t>. Signé dans l’accord du non-marchand mais jamais respecté par les OS</w:t>
      </w:r>
    </w:p>
    <w:p w14:paraId="639B7947" w14:textId="77777777" w:rsidR="00E726D5" w:rsidRPr="00EA3FE5" w:rsidRDefault="00E726D5" w:rsidP="00C5741E">
      <w:pPr>
        <w:pStyle w:val="Sansinterligne"/>
        <w:jc w:val="both"/>
      </w:pPr>
    </w:p>
    <w:p w14:paraId="75A54E6D" w14:textId="77777777" w:rsidR="00EA3FE5" w:rsidRPr="00E726D5" w:rsidRDefault="00EA3FE5" w:rsidP="00C5741E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 w:rsidRPr="00E726D5">
        <w:rPr>
          <w:b/>
          <w:bCs/>
        </w:rPr>
        <w:t>Propositions :</w:t>
      </w:r>
    </w:p>
    <w:p w14:paraId="31811478" w14:textId="77777777" w:rsidR="00E726D5" w:rsidRPr="00EA3FE5" w:rsidRDefault="00EA3FE5" w:rsidP="00C5741E">
      <w:pPr>
        <w:pStyle w:val="Sansinterligne"/>
        <w:jc w:val="both"/>
      </w:pPr>
      <w:r w:rsidRPr="00EA3FE5">
        <w:t xml:space="preserve">Signer </w:t>
      </w:r>
      <w:r w:rsidR="00E726D5">
        <w:t>la</w:t>
      </w:r>
      <w:r w:rsidRPr="00EA3FE5">
        <w:t xml:space="preserve"> CCT sur l’augmentation des fonctions </w:t>
      </w:r>
      <w:r w:rsidR="00E726D5">
        <w:t>directions comme elle était prévue et leur l</w:t>
      </w:r>
      <w:r w:rsidRPr="00EA3FE5">
        <w:t>aisser la gestion du reste du budget libre.</w:t>
      </w:r>
      <w:r w:rsidR="00E726D5">
        <w:t xml:space="preserve"> Si besoin on accepte de prendre juste 5% pour toutes les directions. </w:t>
      </w:r>
      <w:r w:rsidR="00E726D5" w:rsidRPr="00EA3FE5">
        <w:t>Si refusé, maintien de la position initiale (5% et 10%).</w:t>
      </w:r>
    </w:p>
    <w:p w14:paraId="13387217" w14:textId="18A2AAA8" w:rsidR="00265EB0" w:rsidRDefault="00E726D5" w:rsidP="00C5741E">
      <w:pPr>
        <w:pStyle w:val="Sansinterligne"/>
        <w:numPr>
          <w:ilvl w:val="0"/>
          <w:numId w:val="11"/>
        </w:numPr>
        <w:jc w:val="both"/>
        <w:rPr>
          <w:lang w:val="fr-FR"/>
        </w:rPr>
      </w:pPr>
      <w:r>
        <w:t>Remarque</w:t>
      </w:r>
      <w:r w:rsidR="00CF5B22">
        <w:t>s</w:t>
      </w:r>
      <w:r>
        <w:t xml:space="preserve">: </w:t>
      </w:r>
      <w:r w:rsidR="00CF5B22">
        <w:t xml:space="preserve">- </w:t>
      </w:r>
      <w:r w:rsidR="00EA3FE5" w:rsidRPr="00EA3FE5">
        <w:t>Si l’IFIC est adopté, les éducateurs percevront une rémunération plus élevée que prévu.</w:t>
      </w:r>
      <w:r w:rsidR="00265EB0">
        <w:t xml:space="preserve"> </w:t>
      </w:r>
      <w:r w:rsidR="00265EB0">
        <w:rPr>
          <w:lang w:val="fr-FR"/>
        </w:rPr>
        <w:t>L’administration lui a demandé pourquoi l’ASAH-BXL a refusé l’IFIC. O</w:t>
      </w:r>
      <w:r w:rsidR="00CF5B22">
        <w:rPr>
          <w:lang w:val="fr-FR"/>
        </w:rPr>
        <w:t xml:space="preserve">r on n’a jamais refusé formellement : </w:t>
      </w:r>
      <w:r w:rsidR="00265EB0">
        <w:rPr>
          <w:lang w:val="fr-FR"/>
        </w:rPr>
        <w:t>on était</w:t>
      </w:r>
      <w:r w:rsidR="00CF5B22">
        <w:rPr>
          <w:lang w:val="fr-FR"/>
        </w:rPr>
        <w:t xml:space="preserve"> </w:t>
      </w:r>
      <w:r w:rsidR="00265EB0">
        <w:rPr>
          <w:lang w:val="fr-FR"/>
        </w:rPr>
        <w:t>pour faire l’étude et prendre notre décision par la suite</w:t>
      </w:r>
      <w:r w:rsidR="00CF5B22">
        <w:rPr>
          <w:lang w:val="fr-FR"/>
        </w:rPr>
        <w:t xml:space="preserve"> mais on n’a jamais été concertés pour cette étude.</w:t>
      </w:r>
    </w:p>
    <w:p w14:paraId="475A42AF" w14:textId="7C4E8DFD" w:rsidR="00EA3FE5" w:rsidRPr="00265EB0" w:rsidRDefault="00CF5B22" w:rsidP="00C5741E">
      <w:pPr>
        <w:pStyle w:val="Sansinterligne"/>
        <w:numPr>
          <w:ilvl w:val="0"/>
          <w:numId w:val="11"/>
        </w:numPr>
        <w:jc w:val="both"/>
        <w:rPr>
          <w:lang w:val="fr-FR"/>
        </w:rPr>
      </w:pPr>
      <w:r>
        <w:t xml:space="preserve">- </w:t>
      </w:r>
      <w:r w:rsidR="00265EB0" w:rsidRPr="00EA3FE5">
        <w:t>Les</w:t>
      </w:r>
      <w:r w:rsidR="00EA3FE5" w:rsidRPr="00EA3FE5">
        <w:t xml:space="preserve"> travailleurs se plaignent</w:t>
      </w:r>
      <w:r>
        <w:t xml:space="preserve"> de surcharge</w:t>
      </w:r>
      <w:r w:rsidR="00EA3FE5" w:rsidRPr="00EA3FE5">
        <w:t xml:space="preserve">. Pourquoi ne pas créer </w:t>
      </w:r>
      <w:r>
        <w:t xml:space="preserve">plutôt </w:t>
      </w:r>
      <w:r w:rsidR="00EA3FE5" w:rsidRPr="00EA3FE5">
        <w:t xml:space="preserve">de </w:t>
      </w:r>
      <w:r w:rsidR="00282553" w:rsidRPr="00EA3FE5">
        <w:t>l’emploi?</w:t>
      </w:r>
      <w:r w:rsidR="00265EB0">
        <w:rPr>
          <w:lang w:val="fr-FR"/>
        </w:rPr>
        <w:t xml:space="preserve"> </w:t>
      </w:r>
      <w:r w:rsidR="00EA3FE5" w:rsidRPr="00EA3FE5">
        <w:t xml:space="preserve">Les CJCH </w:t>
      </w:r>
      <w:r w:rsidR="00265EB0" w:rsidRPr="00265EB0">
        <w:rPr>
          <w:lang w:val="fr-FR"/>
        </w:rPr>
        <w:t xml:space="preserve">Les CJCH essayent depuis longtemps mais se retrouvent face à un mur. </w:t>
      </w:r>
      <w:r w:rsidR="00EA3FE5" w:rsidRPr="00EA3FE5">
        <w:t>Chez Bruxeo, on plaide pour des augmentations de cadre et d’ETP par catégorie, plutôt que des hausses de salaires et d’avantages.</w:t>
      </w:r>
    </w:p>
    <w:p w14:paraId="6CBD1355" w14:textId="77777777" w:rsidR="00EA3FE5" w:rsidRPr="00EA3FE5" w:rsidRDefault="00000000" w:rsidP="00C5741E">
      <w:pPr>
        <w:pStyle w:val="Sansinterligne"/>
        <w:jc w:val="both"/>
      </w:pPr>
      <w:r>
        <w:pict w14:anchorId="7665C95B">
          <v:rect id="_x0000_i1026" style="width:0;height:1.5pt" o:hralign="center" o:hrstd="t" o:hr="t" fillcolor="#a0a0a0" stroked="f"/>
        </w:pict>
      </w:r>
    </w:p>
    <w:p w14:paraId="2C9B82F7" w14:textId="77777777" w:rsidR="00EA3FE5" w:rsidRPr="00EA3FE5" w:rsidRDefault="00EA3FE5" w:rsidP="00C5741E">
      <w:pPr>
        <w:pStyle w:val="Sansinterligne"/>
        <w:numPr>
          <w:ilvl w:val="0"/>
          <w:numId w:val="9"/>
        </w:numPr>
        <w:jc w:val="both"/>
        <w:rPr>
          <w:b/>
          <w:bCs/>
        </w:rPr>
      </w:pPr>
      <w:r w:rsidRPr="00EA3FE5">
        <w:rPr>
          <w:b/>
          <w:bCs/>
        </w:rPr>
        <w:t>Fedes 319.02 :</w:t>
      </w:r>
    </w:p>
    <w:p w14:paraId="64FC0489" w14:textId="77777777" w:rsidR="00EA3FE5" w:rsidRPr="00EA3FE5" w:rsidRDefault="00EA3FE5" w:rsidP="00C5741E">
      <w:pPr>
        <w:pStyle w:val="Sansinterligne"/>
        <w:jc w:val="both"/>
      </w:pPr>
      <w:r w:rsidRPr="00EA3FE5">
        <w:t>Organisation interne du nouveau pôle de l’ASBL.</w:t>
      </w:r>
    </w:p>
    <w:p w14:paraId="3346EE90" w14:textId="6FDFC126" w:rsidR="00EA3FE5" w:rsidRPr="00EA3FE5" w:rsidRDefault="00EA3FE5" w:rsidP="00C5741E">
      <w:pPr>
        <w:pStyle w:val="Sansinterligne"/>
        <w:jc w:val="both"/>
      </w:pPr>
      <w:r w:rsidRPr="00EA3FE5">
        <w:t>Le pôle handicap, coordonné par Françoise</w:t>
      </w:r>
      <w:r w:rsidR="00CF5B22">
        <w:t xml:space="preserve"> Leonard</w:t>
      </w:r>
      <w:r w:rsidRPr="00EA3FE5">
        <w:t>, enverra le ROI du pôle paritaire comme exemple.</w:t>
      </w:r>
    </w:p>
    <w:p w14:paraId="433AC847" w14:textId="77777777" w:rsidR="00EA3FE5" w:rsidRPr="00EA3FE5" w:rsidRDefault="00EA3FE5" w:rsidP="00C5741E">
      <w:pPr>
        <w:pStyle w:val="Sansinterligne"/>
        <w:jc w:val="both"/>
      </w:pPr>
      <w:r w:rsidRPr="00EA3FE5">
        <w:t>Demande d’informations sur l’organisation bruxelloise (mandats, présences, instances).</w:t>
      </w:r>
    </w:p>
    <w:p w14:paraId="41222DF3" w14:textId="77777777" w:rsidR="00EA3FE5" w:rsidRPr="00EA3FE5" w:rsidRDefault="00EA3FE5" w:rsidP="00C5741E">
      <w:pPr>
        <w:pStyle w:val="Sansinterligne"/>
        <w:jc w:val="both"/>
      </w:pPr>
      <w:r w:rsidRPr="00EA3FE5">
        <w:t>Les nouvelles adresses mails des pôles seront communiquées.</w:t>
      </w:r>
    </w:p>
    <w:p w14:paraId="57499B2B" w14:textId="7F2413FB" w:rsidR="00EA3FE5" w:rsidRPr="00EA3FE5" w:rsidRDefault="00EA3FE5" w:rsidP="00C5741E">
      <w:pPr>
        <w:pStyle w:val="Sansinterligne"/>
        <w:jc w:val="both"/>
      </w:pPr>
      <w:r w:rsidRPr="00EA3FE5">
        <w:t xml:space="preserve">Quels sont les dossiers sectoriels en cours et les perspectives de travail </w:t>
      </w:r>
      <w:r w:rsidR="00265EB0">
        <w:t xml:space="preserve">et réflexions sur les dossiers sur lesquels ASAH-BXL veut travailler. </w:t>
      </w:r>
    </w:p>
    <w:p w14:paraId="3DD29CEF" w14:textId="77777777" w:rsidR="00EA3FE5" w:rsidRPr="00EA3FE5" w:rsidRDefault="00000000" w:rsidP="00C5741E">
      <w:pPr>
        <w:pStyle w:val="Sansinterligne"/>
        <w:jc w:val="both"/>
      </w:pPr>
      <w:r>
        <w:pict w14:anchorId="39EAA32B">
          <v:rect id="_x0000_i1027" style="width:0;height:1.5pt" o:hralign="center" o:hrstd="t" o:hr="t" fillcolor="#a0a0a0" stroked="f"/>
        </w:pict>
      </w:r>
    </w:p>
    <w:p w14:paraId="53DB4E45" w14:textId="77777777" w:rsidR="00EA3FE5" w:rsidRPr="00EA3FE5" w:rsidRDefault="00EA3FE5" w:rsidP="00C5741E">
      <w:pPr>
        <w:pStyle w:val="Sansinterligne"/>
        <w:numPr>
          <w:ilvl w:val="0"/>
          <w:numId w:val="9"/>
        </w:numPr>
        <w:jc w:val="both"/>
        <w:rPr>
          <w:b/>
          <w:bCs/>
        </w:rPr>
      </w:pPr>
      <w:r w:rsidRPr="00EA3FE5">
        <w:rPr>
          <w:b/>
          <w:bCs/>
        </w:rPr>
        <w:t>Divers :</w:t>
      </w:r>
    </w:p>
    <w:p w14:paraId="1F5697EB" w14:textId="77777777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Actes infirmiers :</w:t>
      </w:r>
    </w:p>
    <w:p w14:paraId="580EC698" w14:textId="77777777" w:rsidR="00EA3FE5" w:rsidRPr="00EA3FE5" w:rsidRDefault="00EA3FE5" w:rsidP="00C5741E">
      <w:pPr>
        <w:pStyle w:val="Sansinterligne"/>
        <w:jc w:val="both"/>
      </w:pPr>
      <w:r w:rsidRPr="00EA3FE5">
        <w:t>Une CCT va-t-elle être signée ?</w:t>
      </w:r>
    </w:p>
    <w:p w14:paraId="49E5A636" w14:textId="338FECEA" w:rsidR="00EA3FE5" w:rsidRPr="00EA3FE5" w:rsidRDefault="00EA3FE5" w:rsidP="00C5741E">
      <w:pPr>
        <w:pStyle w:val="Sansinterligne"/>
        <w:jc w:val="both"/>
      </w:pPr>
      <w:r w:rsidRPr="00EA3FE5">
        <w:t>Un article prévoit l’interdiction de la contention</w:t>
      </w:r>
      <w:r w:rsidR="00CF5B22">
        <w:t xml:space="preserve"> (donc y compris une porte fermée à clé pour isoler).</w:t>
      </w:r>
    </w:p>
    <w:p w14:paraId="0A263C2A" w14:textId="77777777" w:rsidR="00EA3FE5" w:rsidRPr="00EA3FE5" w:rsidRDefault="00EA3FE5" w:rsidP="00C5741E">
      <w:pPr>
        <w:pStyle w:val="Sansinterligne"/>
        <w:jc w:val="both"/>
      </w:pPr>
      <w:r w:rsidRPr="00EA3FE5">
        <w:t>Organisation d’une réunion ASAH pour clarifier ce que les travailleurs peuvent faire sans risques.</w:t>
      </w:r>
    </w:p>
    <w:p w14:paraId="77DEC2DD" w14:textId="79B13BEE" w:rsidR="00EA3FE5" w:rsidRPr="00EA3FE5" w:rsidRDefault="00EA3FE5" w:rsidP="00C5741E">
      <w:pPr>
        <w:pStyle w:val="Sansinterligne"/>
        <w:jc w:val="both"/>
      </w:pPr>
      <w:r w:rsidRPr="009527C1">
        <w:rPr>
          <w:highlight w:val="yellow"/>
        </w:rPr>
        <w:t>Envoi d’un mail</w:t>
      </w:r>
      <w:r w:rsidR="00CF5B22" w:rsidRPr="009527C1">
        <w:rPr>
          <w:highlight w:val="yellow"/>
        </w:rPr>
        <w:t xml:space="preserve"> à tous par Olivia</w:t>
      </w:r>
      <w:r w:rsidRPr="009527C1">
        <w:rPr>
          <w:highlight w:val="yellow"/>
        </w:rPr>
        <w:t xml:space="preserve"> </w:t>
      </w:r>
      <w:r w:rsidR="00282553" w:rsidRPr="009527C1">
        <w:rPr>
          <w:highlight w:val="yellow"/>
        </w:rPr>
        <w:t>afin</w:t>
      </w:r>
      <w:r w:rsidRPr="009527C1">
        <w:rPr>
          <w:highlight w:val="yellow"/>
        </w:rPr>
        <w:t xml:space="preserve"> </w:t>
      </w:r>
      <w:r w:rsidR="00282553" w:rsidRPr="009527C1">
        <w:rPr>
          <w:highlight w:val="yellow"/>
        </w:rPr>
        <w:t>d’</w:t>
      </w:r>
      <w:r w:rsidRPr="009527C1">
        <w:rPr>
          <w:highlight w:val="yellow"/>
        </w:rPr>
        <w:t xml:space="preserve">identifier les intéressés pour un </w:t>
      </w:r>
      <w:r w:rsidR="00CF5B22" w:rsidRPr="009527C1">
        <w:rPr>
          <w:highlight w:val="yellow"/>
        </w:rPr>
        <w:t>GT</w:t>
      </w:r>
      <w:r w:rsidRPr="009527C1">
        <w:rPr>
          <w:highlight w:val="yellow"/>
        </w:rPr>
        <w:t xml:space="preserve"> ASAH </w:t>
      </w:r>
      <w:r w:rsidR="00CF5B22" w:rsidRPr="009527C1">
        <w:rPr>
          <w:highlight w:val="yellow"/>
        </w:rPr>
        <w:t>« « </w:t>
      </w:r>
      <w:r w:rsidRPr="009527C1">
        <w:rPr>
          <w:highlight w:val="yellow"/>
        </w:rPr>
        <w:t>aidant qualifié</w:t>
      </w:r>
      <w:r w:rsidR="00CF5B22" w:rsidRPr="009527C1">
        <w:rPr>
          <w:highlight w:val="yellow"/>
        </w:rPr>
        <w:t> »</w:t>
      </w:r>
      <w:r w:rsidRPr="009527C1">
        <w:rPr>
          <w:highlight w:val="yellow"/>
        </w:rPr>
        <w:t>.</w:t>
      </w:r>
    </w:p>
    <w:p w14:paraId="37E68D8C" w14:textId="237E537A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Retour CC</w:t>
      </w:r>
      <w:r w:rsidR="00265EB0">
        <w:rPr>
          <w:b/>
          <w:bCs/>
        </w:rPr>
        <w:t> :</w:t>
      </w:r>
    </w:p>
    <w:p w14:paraId="17E60D70" w14:textId="4494A4C6" w:rsidR="00323BF5" w:rsidRDefault="00265EB0" w:rsidP="00C5741E">
      <w:pPr>
        <w:pStyle w:val="Sansinterligne"/>
        <w:numPr>
          <w:ilvl w:val="0"/>
          <w:numId w:val="11"/>
        </w:numPr>
        <w:jc w:val="both"/>
        <w:rPr>
          <w:lang w:val="fr-FR" w:eastAsia="fr-BE"/>
        </w:rPr>
      </w:pPr>
      <w:r>
        <w:t xml:space="preserve">Mr </w:t>
      </w:r>
      <w:r w:rsidR="00EA3FE5" w:rsidRPr="00EA3FE5">
        <w:t xml:space="preserve">Magis a démissionné, Annick </w:t>
      </w:r>
      <w:r w:rsidR="00CF5B22">
        <w:t xml:space="preserve">Seghers </w:t>
      </w:r>
      <w:r>
        <w:t xml:space="preserve">(présidente ACSEH) </w:t>
      </w:r>
      <w:r w:rsidR="00EA3FE5" w:rsidRPr="00EA3FE5">
        <w:t>devient présidente.</w:t>
      </w:r>
      <w:r w:rsidR="00323BF5">
        <w:t xml:space="preserve"> </w:t>
      </w:r>
      <w:r w:rsidR="00323BF5">
        <w:rPr>
          <w:lang w:eastAsia="fr-BE"/>
        </w:rPr>
        <w:t>L</w:t>
      </w:r>
      <w:r w:rsidR="00323BF5" w:rsidRPr="00323BF5">
        <w:rPr>
          <w:lang w:val="fr-FR" w:eastAsia="fr-BE"/>
        </w:rPr>
        <w:t>’admin</w:t>
      </w:r>
      <w:r w:rsidR="00323BF5">
        <w:rPr>
          <w:lang w:val="fr-FR" w:eastAsia="fr-BE"/>
        </w:rPr>
        <w:t>istration</w:t>
      </w:r>
      <w:r w:rsidR="00323BF5" w:rsidRPr="00323BF5">
        <w:rPr>
          <w:lang w:val="fr-FR" w:eastAsia="fr-BE"/>
        </w:rPr>
        <w:t xml:space="preserve"> a</w:t>
      </w:r>
      <w:r w:rsidR="00CF5B22">
        <w:rPr>
          <w:lang w:val="fr-FR" w:eastAsia="fr-BE"/>
        </w:rPr>
        <w:t xml:space="preserve"> insisté pour </w:t>
      </w:r>
      <w:r w:rsidR="00323BF5" w:rsidRPr="00323BF5">
        <w:rPr>
          <w:lang w:val="fr-FR" w:eastAsia="fr-BE"/>
        </w:rPr>
        <w:t xml:space="preserve">que Thomas Dabeux (Inclusion) sera le vice-président alors que la </w:t>
      </w:r>
      <w:r w:rsidR="00CF5B22">
        <w:rPr>
          <w:lang w:val="fr-FR" w:eastAsia="fr-BE"/>
        </w:rPr>
        <w:t>L</w:t>
      </w:r>
      <w:r w:rsidR="00323BF5" w:rsidRPr="00323BF5">
        <w:rPr>
          <w:lang w:val="fr-FR" w:eastAsia="fr-BE"/>
        </w:rPr>
        <w:t xml:space="preserve">igue </w:t>
      </w:r>
      <w:r w:rsidR="00CF5B22">
        <w:rPr>
          <w:lang w:val="fr-FR" w:eastAsia="fr-BE"/>
        </w:rPr>
        <w:t>B</w:t>
      </w:r>
      <w:r w:rsidR="00323BF5" w:rsidRPr="00323BF5">
        <w:rPr>
          <w:lang w:val="fr-FR" w:eastAsia="fr-BE"/>
        </w:rPr>
        <w:t>raille et autres avaient posé leur candidature</w:t>
      </w:r>
      <w:r w:rsidR="00CF5B22">
        <w:rPr>
          <w:lang w:val="fr-FR" w:eastAsia="fr-BE"/>
        </w:rPr>
        <w:t> !</w:t>
      </w:r>
    </w:p>
    <w:p w14:paraId="53BDC71C" w14:textId="45568801" w:rsidR="00323BF5" w:rsidRPr="00323BF5" w:rsidRDefault="00EA3FE5" w:rsidP="00C5741E">
      <w:pPr>
        <w:pStyle w:val="Sansinterligne"/>
        <w:numPr>
          <w:ilvl w:val="0"/>
          <w:numId w:val="11"/>
        </w:numPr>
        <w:jc w:val="both"/>
        <w:rPr>
          <w:lang w:val="fr-FR" w:eastAsia="fr-BE"/>
        </w:rPr>
      </w:pPr>
      <w:r w:rsidRPr="00EA3FE5">
        <w:t>Renouvellement des 12e provisoires :</w:t>
      </w:r>
      <w:r w:rsidR="00323BF5" w:rsidRPr="00323BF5"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  <w:r w:rsidR="00CF5B22">
        <w:rPr>
          <w:rFonts w:eastAsia="Times New Roman" w:cs="Calibri"/>
          <w:kern w:val="0"/>
          <w:lang w:val="fr-FR" w:eastAsia="fr-BE"/>
          <w14:ligatures w14:val="none"/>
        </w:rPr>
        <w:t xml:space="preserve">le 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cabinet</w:t>
      </w:r>
      <w:r w:rsidR="00CF5B22">
        <w:rPr>
          <w:rFonts w:eastAsia="Times New Roman" w:cs="Calibri"/>
          <w:kern w:val="0"/>
          <w:lang w:val="fr-FR" w:eastAsia="fr-BE"/>
          <w14:ligatures w14:val="none"/>
        </w:rPr>
        <w:t xml:space="preserve"> Vervoort affirme</w:t>
      </w:r>
      <w:r w:rsidR="00323BF5" w:rsidRPr="00323BF5">
        <w:rPr>
          <w:rFonts w:eastAsia="Times New Roman" w:cs="Calibri"/>
          <w:kern w:val="0"/>
          <w:lang w:val="fr-FR" w:eastAsia="fr-BE"/>
          <w14:ligatures w14:val="none"/>
        </w:rPr>
        <w:t xml:space="preserve"> que t</w:t>
      </w:r>
      <w:r w:rsidR="00CF5B22">
        <w:rPr>
          <w:rFonts w:eastAsia="Times New Roman" w:cs="Calibri"/>
          <w:kern w:val="0"/>
          <w:lang w:val="fr-FR" w:eastAsia="fr-BE"/>
          <w14:ligatures w14:val="none"/>
        </w:rPr>
        <w:t>ou</w:t>
      </w:r>
      <w:r w:rsidR="00323BF5" w:rsidRPr="00323BF5">
        <w:rPr>
          <w:rFonts w:eastAsia="Times New Roman" w:cs="Calibri"/>
          <w:kern w:val="0"/>
          <w:lang w:val="fr-FR" w:eastAsia="fr-BE"/>
          <w14:ligatures w14:val="none"/>
        </w:rPr>
        <w:t>t va bien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… Discours très différent du Directeur de PHARE en aparté. </w:t>
      </w:r>
    </w:p>
    <w:p w14:paraId="2C978A54" w14:textId="74A11538" w:rsidR="00EA3FE5" w:rsidRPr="00323BF5" w:rsidRDefault="00323BF5" w:rsidP="00C5741E">
      <w:pPr>
        <w:pStyle w:val="Sansinterligne"/>
        <w:numPr>
          <w:ilvl w:val="0"/>
          <w:numId w:val="11"/>
        </w:numPr>
        <w:jc w:val="both"/>
        <w:rPr>
          <w:lang w:val="fr-FR" w:eastAsia="fr-BE"/>
        </w:rPr>
      </w:pPr>
      <w:r w:rsidRPr="00323BF5">
        <w:rPr>
          <w:rFonts w:eastAsia="Times New Roman" w:cs="Calibri"/>
          <w:kern w:val="0"/>
          <w:lang w:val="fr-FR" w:eastAsia="fr-BE"/>
          <w14:ligatures w14:val="none"/>
        </w:rPr>
        <w:t>Présentation des ateliers Tamtam : projet intéressant mais en grande difficulté financière. Ils ont créé des formations sur le doubl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e diagnostic </w:t>
      </w:r>
      <w:r w:rsidRPr="00323BF5">
        <w:rPr>
          <w:rFonts w:eastAsia="Times New Roman" w:cs="Calibri"/>
          <w:kern w:val="0"/>
          <w:lang w:val="fr-FR" w:eastAsia="fr-BE"/>
          <w14:ligatures w14:val="none"/>
        </w:rPr>
        <w:t>en petit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s</w:t>
      </w:r>
      <w:r w:rsidRPr="00323BF5">
        <w:rPr>
          <w:rFonts w:eastAsia="Times New Roman" w:cs="Calibri"/>
          <w:kern w:val="0"/>
          <w:lang w:val="fr-FR" w:eastAsia="fr-BE"/>
          <w14:ligatures w14:val="none"/>
        </w:rPr>
        <w:t xml:space="preserve"> module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s</w:t>
      </w:r>
      <w:r w:rsidRPr="00323BF5">
        <w:rPr>
          <w:rFonts w:eastAsia="Times New Roman" w:cs="Calibri"/>
          <w:kern w:val="0"/>
          <w:lang w:val="fr-FR" w:eastAsia="fr-BE"/>
          <w14:ligatures w14:val="none"/>
        </w:rPr>
        <w:t xml:space="preserve"> pour 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alléger les sessions et </w:t>
      </w:r>
      <w:r w:rsidRPr="00323BF5">
        <w:rPr>
          <w:rFonts w:eastAsia="Times New Roman" w:cs="Calibri"/>
          <w:kern w:val="0"/>
          <w:lang w:val="fr-FR" w:eastAsia="fr-BE"/>
          <w14:ligatures w14:val="none"/>
        </w:rPr>
        <w:t>faciliter la participation des travailleurs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 sans bloquer trop leurs services.</w:t>
      </w:r>
      <w:r w:rsidRPr="00323BF5"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</w:p>
    <w:p w14:paraId="4CA29414" w14:textId="32CC4F98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Cotisation</w:t>
      </w:r>
      <w:r w:rsidR="00323BF5">
        <w:rPr>
          <w:b/>
          <w:bCs/>
        </w:rPr>
        <w:t>s</w:t>
      </w:r>
      <w:r w:rsidRPr="00EA3FE5">
        <w:rPr>
          <w:b/>
          <w:bCs/>
        </w:rPr>
        <w:t xml:space="preserve"> :</w:t>
      </w:r>
    </w:p>
    <w:p w14:paraId="14179BC2" w14:textId="7962B21A" w:rsidR="00EA3FE5" w:rsidRPr="00EA3FE5" w:rsidRDefault="00EA3FE5" w:rsidP="00C5741E">
      <w:pPr>
        <w:pStyle w:val="Sansinterligne"/>
        <w:ind w:firstLine="708"/>
        <w:jc w:val="both"/>
      </w:pPr>
      <w:r w:rsidRPr="00EA3FE5">
        <w:t>Augmentée</w:t>
      </w:r>
      <w:r w:rsidR="00323BF5">
        <w:t>s</w:t>
      </w:r>
      <w:r w:rsidRPr="00EA3FE5">
        <w:t xml:space="preserve"> de 50€ pour couvrir </w:t>
      </w:r>
      <w:r w:rsidR="009527C1">
        <w:t xml:space="preserve">sur le long terme </w:t>
      </w:r>
      <w:r w:rsidRPr="00EA3FE5">
        <w:t xml:space="preserve">les frais </w:t>
      </w:r>
      <w:r w:rsidR="00323BF5">
        <w:t>liés a</w:t>
      </w:r>
      <w:r w:rsidRPr="00EA3FE5">
        <w:t>u poste d’Olivia.</w:t>
      </w:r>
    </w:p>
    <w:p w14:paraId="68BF28CE" w14:textId="77777777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lastRenderedPageBreak/>
        <w:t>ACS :</w:t>
      </w:r>
    </w:p>
    <w:p w14:paraId="088D640B" w14:textId="3BB82741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Un budget prévisionnel 2024 suffit en mentionnant que l’AG n’a pas encore validé celui de 2025.</w:t>
      </w:r>
    </w:p>
    <w:p w14:paraId="3343C17B" w14:textId="61FA80F0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>Il est nécessaire de demander un accusé de réception.</w:t>
      </w:r>
    </w:p>
    <w:p w14:paraId="5AC186AF" w14:textId="229DF7F3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 xml:space="preserve">Difficulté à trouver </w:t>
      </w:r>
      <w:r w:rsidR="009527C1">
        <w:t>des</w:t>
      </w:r>
      <w:r w:rsidRPr="00EA3FE5">
        <w:t xml:space="preserve"> ACS, les acceptations</w:t>
      </w:r>
      <w:r w:rsidR="009527C1">
        <w:t xml:space="preserve"> de dérogations</w:t>
      </w:r>
      <w:r w:rsidRPr="00EA3FE5">
        <w:t xml:space="preserve"> dépendent des interlocuteurs.</w:t>
      </w:r>
    </w:p>
    <w:p w14:paraId="4D58CD1A" w14:textId="0E1E303F" w:rsidR="00EA3FE5" w:rsidRPr="00EA3FE5" w:rsidRDefault="00EA3FE5" w:rsidP="00C5741E">
      <w:pPr>
        <w:pStyle w:val="Sansinterligne"/>
        <w:numPr>
          <w:ilvl w:val="0"/>
          <w:numId w:val="11"/>
        </w:numPr>
        <w:jc w:val="both"/>
      </w:pPr>
      <w:r w:rsidRPr="00EA3FE5">
        <w:t xml:space="preserve">Possibilité de rupture de contrat pour un travailleur en longue durée si </w:t>
      </w:r>
      <w:r w:rsidR="00F8741D">
        <w:t xml:space="preserve">cette absence met à mal le bon fonctionnement du service et/ou </w:t>
      </w:r>
      <w:r w:rsidRPr="00EA3FE5">
        <w:t>la médecine du travail le reconnaît inapte</w:t>
      </w:r>
      <w:r w:rsidR="00F8741D">
        <w:t xml:space="preserve"> à revenir</w:t>
      </w:r>
      <w:r w:rsidRPr="00EA3FE5">
        <w:t>.</w:t>
      </w:r>
      <w:r w:rsidR="00F8741D">
        <w:t xml:space="preserve"> </w:t>
      </w:r>
    </w:p>
    <w:p w14:paraId="62C13D01" w14:textId="739DE279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Inspection thématique EVRAS :</w:t>
      </w:r>
    </w:p>
    <w:p w14:paraId="4D3F7656" w14:textId="6BE790B8" w:rsidR="00F8741D" w:rsidRDefault="009527C1" w:rsidP="00C5741E">
      <w:pPr>
        <w:pStyle w:val="Sansinterligne"/>
        <w:numPr>
          <w:ilvl w:val="0"/>
          <w:numId w:val="11"/>
        </w:numPr>
        <w:jc w:val="both"/>
      </w:pPr>
      <w:r>
        <w:t>L’inspectrice</w:t>
      </w:r>
      <w:r w:rsidR="00EA3FE5" w:rsidRPr="00EA3FE5">
        <w:t xml:space="preserve"> pose des questions sans jugement.</w:t>
      </w:r>
      <w:r w:rsidR="00F8741D">
        <w:t xml:space="preserve"> </w:t>
      </w:r>
      <w:r w:rsidR="00EA3FE5" w:rsidRPr="00EA3FE5">
        <w:t>Une farde de documents peut être préparée</w:t>
      </w:r>
      <w:r>
        <w:t xml:space="preserve"> pour faciliter l’entretien.</w:t>
      </w:r>
    </w:p>
    <w:p w14:paraId="7BC56858" w14:textId="2DA7C394" w:rsidR="00F8741D" w:rsidRPr="00227A06" w:rsidRDefault="00F8741D" w:rsidP="00C5741E">
      <w:pPr>
        <w:pStyle w:val="Sansinterligne"/>
        <w:numPr>
          <w:ilvl w:val="0"/>
          <w:numId w:val="11"/>
        </w:numPr>
        <w:jc w:val="both"/>
        <w:rPr>
          <w:highlight w:val="yellow"/>
        </w:rPr>
      </w:pPr>
      <w:r w:rsidRPr="00227A06">
        <w:rPr>
          <w:highlight w:val="yellow"/>
        </w:rPr>
        <w:t>Si ASAH organise en formation EVRAS à BX</w:t>
      </w:r>
      <w:r w:rsidR="009527C1">
        <w:rPr>
          <w:highlight w:val="yellow"/>
        </w:rPr>
        <w:t>L</w:t>
      </w:r>
      <w:r w:rsidRPr="00227A06">
        <w:rPr>
          <w:highlight w:val="yellow"/>
        </w:rPr>
        <w:t xml:space="preserve"> seriez-vous intéressés et pour combien de personnes ? Olivia envoie un mail. </w:t>
      </w:r>
    </w:p>
    <w:p w14:paraId="64114037" w14:textId="61588D27" w:rsidR="00A50452" w:rsidRDefault="00A50452" w:rsidP="00C5741E">
      <w:pPr>
        <w:pStyle w:val="Sansinterligne"/>
        <w:numPr>
          <w:ilvl w:val="0"/>
          <w:numId w:val="11"/>
        </w:numPr>
        <w:jc w:val="both"/>
      </w:pPr>
      <w:r>
        <w:t xml:space="preserve">DPO : </w:t>
      </w:r>
      <w:r w:rsidR="00282553">
        <w:t>Ça</w:t>
      </w:r>
      <w:r>
        <w:t xml:space="preserve"> doit être un travailleur ou une personne extérieure </w:t>
      </w:r>
      <w:r w:rsidR="009527C1">
        <w:t xml:space="preserve">(pas la direction) </w:t>
      </w:r>
      <w:r>
        <w:t>pour vérifier ce qui est fait et si tout est en ordre. La direction peut préparer les doc</w:t>
      </w:r>
      <w:r w:rsidR="009527C1">
        <w:t>uments nécessaires</w:t>
      </w:r>
      <w:r>
        <w:t xml:space="preserve"> et tous les ans par ex</w:t>
      </w:r>
      <w:r w:rsidR="009527C1">
        <w:t>emple</w:t>
      </w:r>
      <w:r>
        <w:t>, la personne désignée vérifie. Ingrid a travaillé avec l</w:t>
      </w:r>
      <w:r w:rsidR="009527C1">
        <w:t>’asbl STICS</w:t>
      </w:r>
      <w:r>
        <w:t xml:space="preserve">. </w:t>
      </w:r>
      <w:r w:rsidR="009527C1">
        <w:t xml:space="preserve">Le </w:t>
      </w:r>
      <w:r>
        <w:t xml:space="preserve"> SUSA nous avait transmis</w:t>
      </w:r>
      <w:r w:rsidR="009527C1">
        <w:t xml:space="preserve"> il y a quelques années, lors d’une formation en interne,</w:t>
      </w:r>
      <w:r>
        <w:t xml:space="preserve"> son dossier comme exemple. A part une demande de remise à niveau, on ne risque pas grand chose. Globalement on montre qu’on a commencé à mettre des actions concrète en place. </w:t>
      </w:r>
    </w:p>
    <w:p w14:paraId="5A839674" w14:textId="55FC17AF" w:rsidR="00A50452" w:rsidRPr="00EA3FE5" w:rsidRDefault="00A50452" w:rsidP="00C5741E">
      <w:pPr>
        <w:pStyle w:val="Sansinterligne"/>
        <w:ind w:left="720"/>
        <w:jc w:val="both"/>
      </w:pPr>
      <w:r>
        <w:t>Si besoin, Bru-</w:t>
      </w:r>
      <w:r w:rsidR="009527C1">
        <w:t xml:space="preserve">S </w:t>
      </w:r>
      <w:r>
        <w:t>ha</w:t>
      </w:r>
      <w:r w:rsidR="009527C1">
        <w:t>re(mutualisation de services par Bruxeo)</w:t>
      </w:r>
      <w:r>
        <w:t xml:space="preserve"> a engagé une personne à 45€/h</w:t>
      </w:r>
      <w:r w:rsidR="009527C1">
        <w:t xml:space="preserve"> et tous les services peuvent souscrire une contrat avec eux.</w:t>
      </w:r>
    </w:p>
    <w:p w14:paraId="57DF19CD" w14:textId="77777777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Formation cybersécurité chez Bruxeo.</w:t>
      </w:r>
    </w:p>
    <w:p w14:paraId="24EDA18B" w14:textId="43257EE6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Solidarim</w:t>
      </w:r>
      <w:r w:rsidR="009527C1">
        <w:rPr>
          <w:b/>
          <w:bCs/>
        </w:rPr>
        <w:t>m</w:t>
      </w:r>
      <w:r w:rsidRPr="00EA3FE5">
        <w:rPr>
          <w:b/>
          <w:bCs/>
        </w:rPr>
        <w:t>o :</w:t>
      </w:r>
      <w:r w:rsidRPr="00EA3FE5">
        <w:t xml:space="preserve"> aide à la mutualisation des locaux du secteur non marchand.</w:t>
      </w:r>
    </w:p>
    <w:p w14:paraId="4B5B23B1" w14:textId="77777777" w:rsidR="00EA3FE5" w:rsidRP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FALC :</w:t>
      </w:r>
      <w:r w:rsidRPr="00EA3FE5">
        <w:t xml:space="preserve"> modification des documents originaux, sans soumission à la COCOF avant le renouvellement de l’agrément.</w:t>
      </w:r>
    </w:p>
    <w:p w14:paraId="0275211C" w14:textId="77777777" w:rsidR="00EA3FE5" w:rsidRDefault="00EA3FE5" w:rsidP="00C5741E">
      <w:pPr>
        <w:pStyle w:val="Sansinterligne"/>
        <w:numPr>
          <w:ilvl w:val="0"/>
          <w:numId w:val="12"/>
        </w:numPr>
        <w:jc w:val="both"/>
      </w:pPr>
      <w:r w:rsidRPr="00EA3FE5">
        <w:rPr>
          <w:b/>
          <w:bCs/>
        </w:rPr>
        <w:t>COCOF :</w:t>
      </w:r>
      <w:r w:rsidRPr="00EA3FE5">
        <w:t xml:space="preserve"> rencontre avec SAHAM sur les CAP.</w:t>
      </w:r>
    </w:p>
    <w:p w14:paraId="37F40445" w14:textId="562D2F65" w:rsidR="00A50452" w:rsidRPr="00A50452" w:rsidRDefault="00A50452" w:rsidP="00C5741E">
      <w:pPr>
        <w:pStyle w:val="Sansinterligne"/>
        <w:numPr>
          <w:ilvl w:val="0"/>
          <w:numId w:val="12"/>
        </w:numPr>
        <w:jc w:val="both"/>
      </w:pPr>
      <w:r>
        <w:rPr>
          <w:b/>
          <w:bCs/>
        </w:rPr>
        <w:t>On pense que les PPI</w:t>
      </w:r>
      <w:r w:rsidR="00C5741E">
        <w:rPr>
          <w:b/>
          <w:bCs/>
        </w:rPr>
        <w:t>/PPA</w:t>
      </w:r>
      <w:r>
        <w:rPr>
          <w:b/>
          <w:bCs/>
        </w:rPr>
        <w:t xml:space="preserve"> sont en très grand danger pour le futur.</w:t>
      </w:r>
    </w:p>
    <w:p w14:paraId="2E6FFB3D" w14:textId="28A58A9C" w:rsidR="00A50452" w:rsidRPr="00A50452" w:rsidRDefault="00A50452" w:rsidP="00C5741E">
      <w:pPr>
        <w:pStyle w:val="Sansinterligne"/>
        <w:numPr>
          <w:ilvl w:val="0"/>
          <w:numId w:val="12"/>
        </w:numPr>
        <w:jc w:val="both"/>
      </w:pPr>
      <w:r w:rsidRPr="00A50452">
        <w:rPr>
          <w:rFonts w:eastAsia="Times New Roman" w:cs="Calibri"/>
          <w:kern w:val="0"/>
          <w:lang w:val="fr-FR" w:eastAsia="fr-BE"/>
          <w14:ligatures w14:val="none"/>
        </w:rPr>
        <w:t>Pascale C :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Est-ce que certains 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services 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>on</w:t>
      </w:r>
      <w:r>
        <w:rPr>
          <w:rFonts w:eastAsia="Times New Roman" w:cs="Calibri"/>
          <w:kern w:val="0"/>
          <w:lang w:val="fr-FR" w:eastAsia="fr-BE"/>
          <w14:ligatures w14:val="none"/>
        </w:rPr>
        <w:t>t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un agrément mais n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 xml:space="preserve">e prennent 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>pas de bénéficiaires couvrant l’entièreté de la tranche d’âge</w:t>
      </w:r>
      <w:r>
        <w:rPr>
          <w:rFonts w:eastAsia="Times New Roman" w:cs="Calibri"/>
          <w:kern w:val="0"/>
          <w:lang w:val="fr-FR" w:eastAsia="fr-BE"/>
          <w14:ligatures w14:val="none"/>
        </w:rPr>
        <w:t xml:space="preserve"> prévue dans la catégorie agrée ? 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>Il faut savoir que l’admin</w:t>
      </w:r>
      <w:r>
        <w:rPr>
          <w:rFonts w:eastAsia="Times New Roman" w:cs="Calibri"/>
          <w:kern w:val="0"/>
          <w:lang w:val="fr-FR" w:eastAsia="fr-BE"/>
          <w14:ligatures w14:val="none"/>
        </w:rPr>
        <w:t>istration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s’interroge et se demande si ça a du sens de revoir les tranches d’âge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s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ou de laisser les services libres en fonction de leur projet de service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…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ou d’obliger les services à </w:t>
      </w:r>
      <w:r w:rsidR="009527C1">
        <w:rPr>
          <w:rFonts w:eastAsia="Times New Roman" w:cs="Calibri"/>
          <w:kern w:val="0"/>
          <w:lang w:val="fr-FR" w:eastAsia="fr-BE"/>
          <w14:ligatures w14:val="none"/>
        </w:rPr>
        <w:t>avoir des bénéficiaires sur toute la tranche agréée.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Ils ne sont pas dans une logique punitive</w:t>
      </w:r>
      <w:r>
        <w:rPr>
          <w:rFonts w:eastAsia="Times New Roman" w:cs="Calibri"/>
          <w:kern w:val="0"/>
          <w:lang w:val="fr-FR" w:eastAsia="fr-BE"/>
          <w14:ligatures w14:val="none"/>
        </w:rPr>
        <w:t>.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  <w:r>
        <w:rPr>
          <w:rFonts w:eastAsia="Times New Roman" w:cs="Calibri"/>
          <w:kern w:val="0"/>
          <w:lang w:val="fr-FR" w:eastAsia="fr-BE"/>
          <w14:ligatures w14:val="none"/>
        </w:rPr>
        <w:t>O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>n peut se préparer e</w:t>
      </w:r>
      <w:r>
        <w:rPr>
          <w:rFonts w:eastAsia="Times New Roman" w:cs="Calibri"/>
          <w:kern w:val="0"/>
          <w:lang w:val="fr-FR" w:eastAsia="fr-BE"/>
          <w14:ligatures w14:val="none"/>
        </w:rPr>
        <w:t>t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envoyer à </w:t>
      </w:r>
      <w:r w:rsidRPr="00A50452">
        <w:rPr>
          <w:rFonts w:eastAsia="Times New Roman" w:cs="Calibri"/>
          <w:kern w:val="0"/>
          <w:highlight w:val="yellow"/>
          <w:lang w:val="fr-FR" w:eastAsia="fr-BE"/>
          <w14:ligatures w14:val="none"/>
        </w:rPr>
        <w:t>Olivia,</w:t>
      </w:r>
      <w:r w:rsidR="009527C1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 une justification </w:t>
      </w:r>
      <w:r w:rsidR="00C5741E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expliquant pourquoi </w:t>
      </w:r>
      <w:r w:rsidR="009527C1">
        <w:rPr>
          <w:rFonts w:eastAsia="Times New Roman" w:cs="Calibri"/>
          <w:kern w:val="0"/>
          <w:highlight w:val="yellow"/>
          <w:lang w:val="fr-FR" w:eastAsia="fr-BE"/>
          <w14:ligatures w14:val="none"/>
        </w:rPr>
        <w:t>on a</w:t>
      </w:r>
      <w:r w:rsidRPr="00A50452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 décidé de faire ce choix</w:t>
      </w:r>
      <w:r w:rsidR="009527C1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 de tranches d’âges restreintes</w:t>
      </w:r>
      <w:r w:rsidRPr="00A50452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 </w:t>
      </w:r>
      <w:r>
        <w:rPr>
          <w:rFonts w:eastAsia="Times New Roman" w:cs="Calibri"/>
          <w:kern w:val="0"/>
          <w:highlight w:val="yellow"/>
          <w:lang w:val="fr-FR" w:eastAsia="fr-BE"/>
          <w14:ligatures w14:val="none"/>
        </w:rPr>
        <w:t>dans</w:t>
      </w:r>
      <w:r w:rsidRPr="00A50452">
        <w:rPr>
          <w:rFonts w:eastAsia="Times New Roman" w:cs="Calibri"/>
          <w:kern w:val="0"/>
          <w:highlight w:val="yellow"/>
          <w:lang w:val="fr-FR" w:eastAsia="fr-BE"/>
          <w14:ligatures w14:val="none"/>
        </w:rPr>
        <w:t xml:space="preserve"> notre projet de servi</w:t>
      </w:r>
      <w:r w:rsidR="009527C1">
        <w:rPr>
          <w:rFonts w:eastAsia="Times New Roman" w:cs="Calibri"/>
          <w:kern w:val="0"/>
          <w:highlight w:val="yellow"/>
          <w:lang w:val="fr-FR" w:eastAsia="fr-BE"/>
          <w14:ligatures w14:val="none"/>
        </w:rPr>
        <w:t>c</w:t>
      </w:r>
      <w:r w:rsidRPr="00A50452">
        <w:rPr>
          <w:rFonts w:eastAsia="Times New Roman" w:cs="Calibri"/>
          <w:kern w:val="0"/>
          <w:highlight w:val="yellow"/>
          <w:lang w:val="fr-FR" w:eastAsia="fr-BE"/>
          <w14:ligatures w14:val="none"/>
        </w:rPr>
        <w:t>e</w:t>
      </w:r>
      <w:r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  <w:r w:rsidR="00C5741E">
        <w:rPr>
          <w:rFonts w:eastAsia="Times New Roman" w:cs="Calibri"/>
          <w:kern w:val="0"/>
          <w:lang w:val="fr-FR" w:eastAsia="fr-BE"/>
          <w14:ligatures w14:val="none"/>
        </w:rPr>
        <w:t>exposant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 </w:t>
      </w:r>
      <w:r>
        <w:rPr>
          <w:rFonts w:eastAsia="Times New Roman" w:cs="Calibri"/>
          <w:kern w:val="0"/>
          <w:lang w:val="fr-FR" w:eastAsia="fr-BE"/>
          <w14:ligatures w14:val="none"/>
        </w:rPr>
        <w:t xml:space="preserve">les raisons et </w:t>
      </w:r>
      <w:r w:rsidRPr="00A50452">
        <w:rPr>
          <w:rFonts w:eastAsia="Times New Roman" w:cs="Calibri"/>
          <w:kern w:val="0"/>
          <w:lang w:val="fr-FR" w:eastAsia="fr-BE"/>
          <w14:ligatures w14:val="none"/>
        </w:rPr>
        <w:t xml:space="preserve">la cohérence de ce choix. </w:t>
      </w:r>
    </w:p>
    <w:p w14:paraId="4BA3C3C9" w14:textId="77777777" w:rsidR="00A50452" w:rsidRPr="00EA3FE5" w:rsidRDefault="00A50452" w:rsidP="00C5741E">
      <w:pPr>
        <w:pStyle w:val="Sansinterligne"/>
        <w:ind w:left="720"/>
        <w:jc w:val="both"/>
      </w:pPr>
    </w:p>
    <w:p w14:paraId="535D87EC" w14:textId="77777777" w:rsidR="00E055BC" w:rsidRDefault="00E055BC" w:rsidP="00C5741E">
      <w:pPr>
        <w:pStyle w:val="Sansinterligne"/>
        <w:jc w:val="both"/>
      </w:pPr>
    </w:p>
    <w:sectPr w:rsidR="00E055BC" w:rsidSect="00E726D5">
      <w:headerReference w:type="default" r:id="rId7"/>
      <w:footerReference w:type="default" r:id="rId8"/>
      <w:pgSz w:w="11906" w:h="16838"/>
      <w:pgMar w:top="1440" w:right="1080" w:bottom="1440" w:left="108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9C4E" w14:textId="77777777" w:rsidR="006A4045" w:rsidRDefault="006A4045" w:rsidP="00E055BC">
      <w:pPr>
        <w:spacing w:after="0" w:line="240" w:lineRule="auto"/>
      </w:pPr>
      <w:r>
        <w:separator/>
      </w:r>
    </w:p>
  </w:endnote>
  <w:endnote w:type="continuationSeparator" w:id="0">
    <w:p w14:paraId="15B4388E" w14:textId="77777777" w:rsidR="006A4045" w:rsidRDefault="006A4045" w:rsidP="00E0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723F" w14:textId="36D2D48A" w:rsidR="00E726D5" w:rsidRDefault="00E726D5">
    <w:pPr>
      <w:pStyle w:val="Pieddepage"/>
    </w:pPr>
    <w:r>
      <w:rPr>
        <w:noProof/>
      </w:rPr>
      <w:drawing>
        <wp:inline distT="0" distB="0" distL="0" distR="0" wp14:anchorId="5994C510" wp14:editId="7E950AF8">
          <wp:extent cx="6352540" cy="883920"/>
          <wp:effectExtent l="0" t="0" r="0" b="0"/>
          <wp:docPr id="15955551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4727" w14:textId="77777777" w:rsidR="006A4045" w:rsidRDefault="006A4045" w:rsidP="00E055BC">
      <w:pPr>
        <w:spacing w:after="0" w:line="240" w:lineRule="auto"/>
      </w:pPr>
      <w:r>
        <w:separator/>
      </w:r>
    </w:p>
  </w:footnote>
  <w:footnote w:type="continuationSeparator" w:id="0">
    <w:p w14:paraId="220C1ECB" w14:textId="77777777" w:rsidR="006A4045" w:rsidRDefault="006A4045" w:rsidP="00E0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3FCB" w14:textId="07509570" w:rsidR="00E055BC" w:rsidRDefault="00E055BC">
    <w:pPr>
      <w:pStyle w:val="En-tte"/>
    </w:pPr>
    <w:r w:rsidRPr="00FA3FEF">
      <w:rPr>
        <w:rFonts w:ascii="Aptos" w:eastAsia="Aptos" w:hAnsi="Aptos" w:cs="Times New Roman"/>
        <w:noProof/>
        <w:kern w:val="0"/>
        <w:sz w:val="22"/>
        <w:szCs w:val="22"/>
        <w14:ligatures w14:val="none"/>
      </w:rPr>
      <w:drawing>
        <wp:inline distT="0" distB="0" distL="0" distR="0" wp14:anchorId="39819A8B" wp14:editId="3C128A75">
          <wp:extent cx="2057400" cy="1171575"/>
          <wp:effectExtent l="0" t="0" r="0" b="9525"/>
          <wp:docPr id="2102810526" name="Image 1" descr="Une image contenant Police, ligne, Graphique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10526" name="Image 1" descr="Une image contenant Police, ligne, Graphique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22002177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67C72F3"/>
    <w:multiLevelType w:val="hybridMultilevel"/>
    <w:tmpl w:val="4140A5E2"/>
    <w:lvl w:ilvl="0" w:tplc="119E51A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2B4E"/>
    <w:multiLevelType w:val="hybridMultilevel"/>
    <w:tmpl w:val="A1EAFA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1EC"/>
    <w:multiLevelType w:val="multilevel"/>
    <w:tmpl w:val="810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83FF6"/>
    <w:multiLevelType w:val="hybridMultilevel"/>
    <w:tmpl w:val="D7B01F2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B1CB3"/>
    <w:multiLevelType w:val="multilevel"/>
    <w:tmpl w:val="8FA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5CB3"/>
    <w:multiLevelType w:val="hybridMultilevel"/>
    <w:tmpl w:val="64B4AC5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E0C75"/>
    <w:multiLevelType w:val="hybridMultilevel"/>
    <w:tmpl w:val="F2EE2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A1465"/>
    <w:multiLevelType w:val="multilevel"/>
    <w:tmpl w:val="258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96A8B"/>
    <w:multiLevelType w:val="hybridMultilevel"/>
    <w:tmpl w:val="EAAE99F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A2F"/>
    <w:multiLevelType w:val="hybridMultilevel"/>
    <w:tmpl w:val="CA826D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12F9"/>
    <w:multiLevelType w:val="multilevel"/>
    <w:tmpl w:val="1E6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20070"/>
    <w:multiLevelType w:val="multilevel"/>
    <w:tmpl w:val="ECA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D3A7B"/>
    <w:multiLevelType w:val="multilevel"/>
    <w:tmpl w:val="631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70017">
    <w:abstractNumId w:val="11"/>
  </w:num>
  <w:num w:numId="2" w16cid:durableId="1197964623">
    <w:abstractNumId w:val="10"/>
  </w:num>
  <w:num w:numId="3" w16cid:durableId="1814324781">
    <w:abstractNumId w:val="4"/>
  </w:num>
  <w:num w:numId="4" w16cid:durableId="2039626602">
    <w:abstractNumId w:val="7"/>
  </w:num>
  <w:num w:numId="5" w16cid:durableId="2118285886">
    <w:abstractNumId w:val="12"/>
  </w:num>
  <w:num w:numId="6" w16cid:durableId="1542475151">
    <w:abstractNumId w:val="5"/>
  </w:num>
  <w:num w:numId="7" w16cid:durableId="891038718">
    <w:abstractNumId w:val="1"/>
  </w:num>
  <w:num w:numId="8" w16cid:durableId="643433705">
    <w:abstractNumId w:val="9"/>
  </w:num>
  <w:num w:numId="9" w16cid:durableId="131412162">
    <w:abstractNumId w:val="8"/>
  </w:num>
  <w:num w:numId="10" w16cid:durableId="7145822">
    <w:abstractNumId w:val="6"/>
  </w:num>
  <w:num w:numId="11" w16cid:durableId="1895460196">
    <w:abstractNumId w:val="0"/>
  </w:num>
  <w:num w:numId="12" w16cid:durableId="408158532">
    <w:abstractNumId w:val="3"/>
  </w:num>
  <w:num w:numId="13" w16cid:durableId="185225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C"/>
    <w:rsid w:val="00227A06"/>
    <w:rsid w:val="00265EB0"/>
    <w:rsid w:val="00282553"/>
    <w:rsid w:val="00323BF5"/>
    <w:rsid w:val="003C76DC"/>
    <w:rsid w:val="003E5E1E"/>
    <w:rsid w:val="006A4045"/>
    <w:rsid w:val="007A64D2"/>
    <w:rsid w:val="007E0DF8"/>
    <w:rsid w:val="009527C1"/>
    <w:rsid w:val="00A50452"/>
    <w:rsid w:val="00BD4887"/>
    <w:rsid w:val="00C23F0F"/>
    <w:rsid w:val="00C27D85"/>
    <w:rsid w:val="00C4475B"/>
    <w:rsid w:val="00C5741E"/>
    <w:rsid w:val="00CB235B"/>
    <w:rsid w:val="00CF5B22"/>
    <w:rsid w:val="00D238E1"/>
    <w:rsid w:val="00D25FD9"/>
    <w:rsid w:val="00D4678E"/>
    <w:rsid w:val="00E055BC"/>
    <w:rsid w:val="00E726D5"/>
    <w:rsid w:val="00EA3FE5"/>
    <w:rsid w:val="00F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86A0"/>
  <w15:chartTrackingRefBased/>
  <w15:docId w15:val="{88FEA897-221F-4E38-A183-60952E19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B0"/>
  </w:style>
  <w:style w:type="paragraph" w:styleId="Titre1">
    <w:name w:val="heading 1"/>
    <w:basedOn w:val="Normal"/>
    <w:next w:val="Normal"/>
    <w:link w:val="Titre1Car"/>
    <w:uiPriority w:val="9"/>
    <w:qFormat/>
    <w:rsid w:val="00E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5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5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5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5B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0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5BC"/>
  </w:style>
  <w:style w:type="paragraph" w:styleId="Pieddepage">
    <w:name w:val="footer"/>
    <w:basedOn w:val="Normal"/>
    <w:link w:val="PieddepageCar"/>
    <w:uiPriority w:val="99"/>
    <w:unhideWhenUsed/>
    <w:rsid w:val="00E0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5BC"/>
  </w:style>
  <w:style w:type="paragraph" w:styleId="Sansinterligne">
    <w:name w:val="No Spacing"/>
    <w:uiPriority w:val="1"/>
    <w:qFormat/>
    <w:rsid w:val="00EA3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Isis Paquet</dc:creator>
  <cp:keywords/>
  <dc:description/>
  <cp:lastModifiedBy>Olivia Isis Paquet</cp:lastModifiedBy>
  <cp:revision>4</cp:revision>
  <dcterms:created xsi:type="dcterms:W3CDTF">2025-04-09T13:54:00Z</dcterms:created>
  <dcterms:modified xsi:type="dcterms:W3CDTF">2026-01-29T14:16:00Z</dcterms:modified>
</cp:coreProperties>
</file>